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EA9E" w14:textId="6828A35D" w:rsidR="00F9297B" w:rsidRPr="00297D8A" w:rsidRDefault="00F9297B" w:rsidP="00330E00">
      <w:pPr>
        <w:pStyle w:val="Title"/>
        <w:spacing w:after="240"/>
        <w:jc w:val="left"/>
        <w:rPr>
          <w:b/>
          <w:bCs/>
          <w:sz w:val="52"/>
          <w:szCs w:val="52"/>
        </w:rPr>
      </w:pPr>
      <w:r w:rsidRPr="00297D8A">
        <w:rPr>
          <w:b/>
          <w:bCs/>
          <w:w w:val="110"/>
          <w:sz w:val="52"/>
          <w:szCs w:val="52"/>
        </w:rPr>
        <w:t>Caring for Valid Sexual Consent</w:t>
      </w:r>
    </w:p>
    <w:p w14:paraId="023F7ADB" w14:textId="6F5AF4A8" w:rsidR="00F9297B" w:rsidRPr="00297D8A" w:rsidRDefault="00F9297B" w:rsidP="00330E00">
      <w:pPr>
        <w:pStyle w:val="BodyText"/>
        <w:spacing w:line="228" w:lineRule="exact"/>
        <w:ind w:left="102" w:right="23"/>
        <w:rPr>
          <w:i/>
          <w:iCs/>
          <w:sz w:val="28"/>
          <w:szCs w:val="28"/>
        </w:rPr>
      </w:pPr>
      <w:r w:rsidRPr="00297D8A">
        <w:rPr>
          <w:i/>
          <w:iCs/>
          <w:w w:val="105"/>
          <w:sz w:val="28"/>
          <w:szCs w:val="28"/>
        </w:rPr>
        <w:t>Eli Benjamin Israel</w:t>
      </w:r>
    </w:p>
    <w:bookmarkStart w:id="0" w:name="Cases"/>
    <w:bookmarkEnd w:id="0"/>
    <w:p w14:paraId="5858D3A9" w14:textId="7B4A9149" w:rsidR="00F9297B" w:rsidRPr="00297D8A" w:rsidRDefault="00F9297B" w:rsidP="00330E00">
      <w:pPr>
        <w:spacing w:before="4"/>
        <w:ind w:left="102" w:right="23"/>
        <w:rPr>
          <w:color w:val="8496B0" w:themeColor="text2" w:themeTint="99"/>
          <w:sz w:val="24"/>
          <w:szCs w:val="32"/>
        </w:rPr>
      </w:pPr>
      <w:r w:rsidRPr="00297D8A">
        <w:rPr>
          <w:color w:val="8496B0" w:themeColor="text2" w:themeTint="99"/>
          <w:spacing w:val="-2"/>
          <w:sz w:val="24"/>
          <w:szCs w:val="32"/>
        </w:rPr>
        <w:fldChar w:fldCharType="begin"/>
      </w:r>
      <w:r w:rsidRPr="00297D8A">
        <w:rPr>
          <w:color w:val="8496B0" w:themeColor="text2" w:themeTint="99"/>
          <w:spacing w:val="-2"/>
          <w:sz w:val="24"/>
          <w:szCs w:val="32"/>
        </w:rPr>
        <w:instrText>HYPERLINK "mailto:elibenjamin@temple.edu"</w:instrText>
      </w:r>
      <w:r w:rsidRPr="00297D8A">
        <w:rPr>
          <w:color w:val="8496B0" w:themeColor="text2" w:themeTint="99"/>
          <w:spacing w:val="-2"/>
          <w:sz w:val="24"/>
          <w:szCs w:val="32"/>
        </w:rPr>
        <w:fldChar w:fldCharType="separate"/>
      </w:r>
      <w:r w:rsidRPr="00297D8A">
        <w:rPr>
          <w:rStyle w:val="Hyperlink"/>
          <w:color w:val="8496B0" w:themeColor="text2" w:themeTint="99"/>
          <w:spacing w:val="-2"/>
          <w:sz w:val="24"/>
          <w:szCs w:val="32"/>
          <w:u w:val="none"/>
        </w:rPr>
        <w:t>elibenjamin@temple.edu</w:t>
      </w:r>
      <w:r w:rsidRPr="00297D8A">
        <w:rPr>
          <w:color w:val="8496B0" w:themeColor="text2" w:themeTint="99"/>
          <w:spacing w:val="-2"/>
          <w:sz w:val="24"/>
          <w:szCs w:val="32"/>
        </w:rPr>
        <w:fldChar w:fldCharType="end"/>
      </w:r>
    </w:p>
    <w:p w14:paraId="62BCEBC3" w14:textId="24310DF0" w:rsidR="00F9297B" w:rsidRPr="000075D8" w:rsidRDefault="00F9297B" w:rsidP="00F9297B">
      <w:pPr>
        <w:pStyle w:val="BodyText"/>
        <w:rPr>
          <w:sz w:val="22"/>
          <w:szCs w:val="24"/>
        </w:rPr>
      </w:pPr>
    </w:p>
    <w:p w14:paraId="04AD81DE" w14:textId="01BF59D6" w:rsidR="00F9297B" w:rsidRPr="000075D8" w:rsidRDefault="00330E00" w:rsidP="00F9297B">
      <w:pPr>
        <w:pStyle w:val="BodyText"/>
        <w:spacing w:before="12"/>
        <w:rPr>
          <w:sz w:val="22"/>
          <w:szCs w:val="24"/>
        </w:rPr>
      </w:pPr>
      <w:r w:rsidRPr="000075D8">
        <w:rPr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69F6F99" wp14:editId="019ADEEA">
            <wp:simplePos x="0" y="0"/>
            <wp:positionH relativeFrom="column">
              <wp:posOffset>85090</wp:posOffset>
            </wp:positionH>
            <wp:positionV relativeFrom="paragraph">
              <wp:posOffset>85725</wp:posOffset>
            </wp:positionV>
            <wp:extent cx="2494280" cy="865505"/>
            <wp:effectExtent l="19050" t="19050" r="20320" b="10795"/>
            <wp:wrapSquare wrapText="bothSides"/>
            <wp:docPr id="1564941676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941676" name="Picture 1" descr="A screenshot of a 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865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D7AB8" w14:textId="477C2C61" w:rsidR="00F9297B" w:rsidRPr="000075D8" w:rsidRDefault="00F9297B" w:rsidP="00330E00">
      <w:pPr>
        <w:pStyle w:val="ListParagraph"/>
        <w:spacing w:after="240"/>
        <w:ind w:left="0" w:firstLine="0"/>
        <w:rPr>
          <w:bCs/>
          <w:sz w:val="24"/>
          <w:szCs w:val="24"/>
        </w:rPr>
      </w:pPr>
      <w:bookmarkStart w:id="1" w:name="_Hlk158210118"/>
      <w:bookmarkEnd w:id="1"/>
      <w:r w:rsidRPr="000075D8">
        <w:rPr>
          <w:bCs/>
          <w:sz w:val="24"/>
          <w:szCs w:val="24"/>
        </w:rPr>
        <w:t>When sex is truly consensual, we would expect that it would not cause a feeling of violation.</w:t>
      </w:r>
      <w:r w:rsidRPr="000075D8">
        <w:rPr>
          <w:bCs/>
          <w:sz w:val="24"/>
          <w:szCs w:val="24"/>
        </w:rPr>
        <w:t xml:space="preserve"> </w:t>
      </w:r>
      <w:r w:rsidR="00330E00" w:rsidRPr="000075D8">
        <w:rPr>
          <w:bCs/>
          <w:sz w:val="24"/>
          <w:szCs w:val="24"/>
        </w:rPr>
        <w:br/>
      </w:r>
      <w:r w:rsidRPr="000075D8">
        <w:rPr>
          <w:bCs/>
          <w:sz w:val="24"/>
          <w:szCs w:val="24"/>
        </w:rPr>
        <w:t xml:space="preserve">So, </w:t>
      </w:r>
      <w:r w:rsidRPr="000075D8">
        <w:rPr>
          <w:bCs/>
          <w:sz w:val="24"/>
          <w:szCs w:val="24"/>
        </w:rPr>
        <w:t>are we attending to all things that can compromise a person’s agency and the validity of their sexual consent?</w:t>
      </w:r>
    </w:p>
    <w:p w14:paraId="2A0A347C" w14:textId="77777777" w:rsidR="00B72463" w:rsidRPr="000075D8" w:rsidRDefault="00B72463" w:rsidP="00330E00">
      <w:pPr>
        <w:pStyle w:val="ListParagraph"/>
        <w:spacing w:after="240"/>
        <w:ind w:left="0" w:firstLine="0"/>
        <w:rPr>
          <w:bCs/>
          <w:sz w:val="24"/>
          <w:szCs w:val="24"/>
        </w:rPr>
      </w:pPr>
    </w:p>
    <w:p w14:paraId="512B9CE0" w14:textId="651E99C1" w:rsidR="00F9297B" w:rsidRPr="00E90F1A" w:rsidRDefault="00F9297B" w:rsidP="00F9297B">
      <w:pPr>
        <w:pStyle w:val="ListParagraph"/>
        <w:numPr>
          <w:ilvl w:val="0"/>
          <w:numId w:val="1"/>
        </w:numPr>
        <w:spacing w:before="240" w:after="240"/>
        <w:jc w:val="center"/>
        <w:rPr>
          <w:bCs/>
          <w:sz w:val="28"/>
          <w:szCs w:val="28"/>
          <w:u w:val="single"/>
        </w:rPr>
      </w:pPr>
      <w:r w:rsidRPr="00E90F1A">
        <w:rPr>
          <w:bCs/>
          <w:sz w:val="28"/>
          <w:szCs w:val="28"/>
          <w:u w:val="single"/>
        </w:rPr>
        <w:t>Exploring a Neglected Condition for Consent</w:t>
      </w:r>
    </w:p>
    <w:p w14:paraId="2F20D775" w14:textId="7EB00803" w:rsidR="00F9297B" w:rsidRPr="000075D8" w:rsidRDefault="00F9297B" w:rsidP="00C643A6">
      <w:pPr>
        <w:pStyle w:val="BodyText"/>
        <w:spacing w:before="1" w:line="230" w:lineRule="auto"/>
        <w:ind w:left="119"/>
        <w:rPr>
          <w:sz w:val="24"/>
          <w:szCs w:val="24"/>
        </w:rPr>
      </w:pPr>
      <w:r w:rsidRPr="000075D8">
        <w:rPr>
          <w:rFonts w:ascii="Palatino Linotype"/>
          <w:b/>
          <w:sz w:val="24"/>
          <w:szCs w:val="24"/>
        </w:rPr>
        <w:t>The Traditional Autonomy-Compromising Conditions:</w:t>
      </w:r>
      <w:r w:rsidRPr="000075D8">
        <w:rPr>
          <w:rFonts w:ascii="Palatino Linotype"/>
          <w:b/>
          <w:spacing w:val="80"/>
          <w:w w:val="150"/>
          <w:sz w:val="24"/>
          <w:szCs w:val="24"/>
        </w:rPr>
        <w:t xml:space="preserve"> </w:t>
      </w:r>
      <w:r w:rsidR="00C643A6" w:rsidRPr="000075D8">
        <w:rPr>
          <w:sz w:val="24"/>
          <w:szCs w:val="24"/>
        </w:rPr>
        <w:t>The ability to freely give and revoke consent, the capacity to understand and reason about what one is consenting to, and the ability to adequately use those capacities.</w:t>
      </w:r>
    </w:p>
    <w:p w14:paraId="55F1498F" w14:textId="77777777" w:rsidR="00C643A6" w:rsidRPr="000075D8" w:rsidRDefault="00C643A6" w:rsidP="00C643A6">
      <w:pPr>
        <w:pStyle w:val="BodyText"/>
        <w:spacing w:before="1" w:line="230" w:lineRule="auto"/>
        <w:ind w:left="119"/>
        <w:rPr>
          <w:sz w:val="24"/>
          <w:szCs w:val="24"/>
        </w:rPr>
      </w:pPr>
    </w:p>
    <w:p w14:paraId="19F66EE2" w14:textId="2B358456" w:rsidR="00F9297B" w:rsidRPr="000075D8" w:rsidRDefault="00C643A6" w:rsidP="00F9297B">
      <w:pPr>
        <w:pStyle w:val="BodyText"/>
        <w:spacing w:before="1" w:line="230" w:lineRule="auto"/>
        <w:ind w:left="119"/>
        <w:rPr>
          <w:sz w:val="24"/>
          <w:szCs w:val="24"/>
        </w:rPr>
      </w:pPr>
      <w:r w:rsidRPr="000075D8">
        <w:rPr>
          <w:sz w:val="24"/>
          <w:szCs w:val="24"/>
        </w:rPr>
        <w:t xml:space="preserve">While necessary, </w:t>
      </w:r>
      <w:r w:rsidR="007F7E25">
        <w:rPr>
          <w:sz w:val="24"/>
          <w:szCs w:val="24"/>
        </w:rPr>
        <w:t>f</w:t>
      </w:r>
      <w:r w:rsidRPr="000075D8">
        <w:rPr>
          <w:sz w:val="24"/>
          <w:szCs w:val="24"/>
        </w:rPr>
        <w:t>ocus inwardly on one's reasoning and expressive capacities, neglecting the significance of the attitudes and actions of the consent-receiver(s) for effective consent.</w:t>
      </w:r>
    </w:p>
    <w:p w14:paraId="1E08A39A" w14:textId="29F02601" w:rsidR="00F9297B" w:rsidRPr="000075D8" w:rsidRDefault="00C643A6" w:rsidP="00F9297B">
      <w:pPr>
        <w:pStyle w:val="BodyText"/>
        <w:spacing w:line="230" w:lineRule="auto"/>
        <w:ind w:left="120"/>
        <w:rPr>
          <w:rFonts w:ascii="Palatino Linotype"/>
          <w:b/>
          <w:w w:val="105"/>
          <w:sz w:val="24"/>
          <w:szCs w:val="24"/>
        </w:rPr>
      </w:pPr>
      <w:r w:rsidRPr="000075D8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160336" wp14:editId="5A1FC756">
                <wp:simplePos x="0" y="0"/>
                <wp:positionH relativeFrom="margin">
                  <wp:posOffset>3023235</wp:posOffset>
                </wp:positionH>
                <wp:positionV relativeFrom="paragraph">
                  <wp:posOffset>92075</wp:posOffset>
                </wp:positionV>
                <wp:extent cx="3030220" cy="1135380"/>
                <wp:effectExtent l="0" t="0" r="1778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61D3D" w14:textId="77777777" w:rsidR="00F9297B" w:rsidRPr="00E90F1A" w:rsidRDefault="00F9297B" w:rsidP="00F9297B">
                            <w:pPr>
                              <w:pStyle w:val="BodyText"/>
                              <w:spacing w:line="244" w:lineRule="auto"/>
                              <w:ind w:left="518" w:right="43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90F1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 Trust Condition (</w:t>
                            </w:r>
                            <w:r w:rsidRPr="00E90F1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TC</w:t>
                            </w:r>
                            <w:r w:rsidRPr="00E90F1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Pr="00E90F1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E90F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B208A9" w14:textId="257CA44C" w:rsidR="00F9297B" w:rsidRPr="00E90F1A" w:rsidRDefault="00F9297B" w:rsidP="00F9297B">
                            <w:pPr>
                              <w:pStyle w:val="BodyText"/>
                              <w:spacing w:line="244" w:lineRule="auto"/>
                              <w:ind w:left="518" w:right="43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90F1A">
                              <w:rPr>
                                <w:sz w:val="22"/>
                                <w:szCs w:val="22"/>
                              </w:rPr>
                              <w:t>A validly consents B to do ϕ to them only if A trusts B to only ϕ with A's consent, and refrain from undertaking any actions beyond ϕ on A without further consent.</w:t>
                            </w:r>
                          </w:p>
                          <w:p w14:paraId="628B9601" w14:textId="02C7EBE9" w:rsidR="00F9297B" w:rsidRPr="00E90F1A" w:rsidRDefault="00F9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0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05pt;margin-top:7.25pt;width:238.6pt;height:8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" strokecolor="black [3213]">
                <v:textbox>
                  <w:txbxContent>
                    <w:p w14:paraId="61661D3D" w14:textId="77777777" w:rsidR="00F9297B" w:rsidRPr="00E90F1A" w:rsidRDefault="00F9297B" w:rsidP="00F9297B">
                      <w:pPr>
                        <w:pStyle w:val="BodyText"/>
                        <w:spacing w:line="244" w:lineRule="auto"/>
                        <w:ind w:left="518" w:right="436"/>
                        <w:jc w:val="both"/>
                        <w:rPr>
                          <w:sz w:val="22"/>
                          <w:szCs w:val="22"/>
                        </w:rPr>
                      </w:pPr>
                      <w:r w:rsidRPr="00E90F1A">
                        <w:rPr>
                          <w:b/>
                          <w:bCs/>
                          <w:sz w:val="22"/>
                          <w:szCs w:val="22"/>
                        </w:rPr>
                        <w:t>The Trust Condition (</w:t>
                      </w:r>
                      <w:r w:rsidRPr="00E90F1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TC</w:t>
                      </w:r>
                      <w:r w:rsidRPr="00E90F1A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Pr="00E90F1A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E90F1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B208A9" w14:textId="257CA44C" w:rsidR="00F9297B" w:rsidRPr="00E90F1A" w:rsidRDefault="00F9297B" w:rsidP="00F9297B">
                      <w:pPr>
                        <w:pStyle w:val="BodyText"/>
                        <w:spacing w:line="244" w:lineRule="auto"/>
                        <w:ind w:left="518" w:right="436"/>
                        <w:jc w:val="both"/>
                        <w:rPr>
                          <w:sz w:val="22"/>
                          <w:szCs w:val="22"/>
                        </w:rPr>
                      </w:pPr>
                      <w:r w:rsidRPr="00E90F1A">
                        <w:rPr>
                          <w:sz w:val="22"/>
                          <w:szCs w:val="22"/>
                        </w:rPr>
                        <w:t>A validly consents B to do ϕ to them only if A trusts B to only ϕ with A's consent, and refrain from undertaking any actions beyond ϕ on A without further consent.</w:t>
                      </w:r>
                    </w:p>
                    <w:p w14:paraId="628B9601" w14:textId="02C7EBE9" w:rsidR="00F9297B" w:rsidRPr="00E90F1A" w:rsidRDefault="00F929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E57FC3" w14:textId="7BFCBD1E" w:rsidR="00F9297B" w:rsidRDefault="00F9297B" w:rsidP="00F9297B">
      <w:pPr>
        <w:pStyle w:val="BodyText"/>
        <w:spacing w:line="230" w:lineRule="auto"/>
        <w:ind w:left="120"/>
        <w:rPr>
          <w:rFonts w:ascii="Palatino Linotype"/>
          <w:bCs/>
          <w:w w:val="105"/>
          <w:sz w:val="24"/>
          <w:szCs w:val="24"/>
        </w:rPr>
      </w:pPr>
      <w:r w:rsidRPr="000075D8">
        <w:rPr>
          <w:rFonts w:ascii="Palatino Linotype"/>
          <w:b/>
          <w:w w:val="105"/>
          <w:sz w:val="24"/>
          <w:szCs w:val="24"/>
        </w:rPr>
        <w:t>The Proposed Solution</w:t>
      </w:r>
      <w:r w:rsidRPr="000075D8">
        <w:rPr>
          <w:rFonts w:ascii="Palatino Linotype"/>
          <w:b/>
          <w:w w:val="105"/>
          <w:sz w:val="24"/>
          <w:szCs w:val="24"/>
        </w:rPr>
        <w:t xml:space="preserve">: </w:t>
      </w:r>
      <w:r w:rsidR="00C643A6" w:rsidRPr="000075D8">
        <w:rPr>
          <w:rFonts w:ascii="Palatino Linotype"/>
          <w:bCs/>
          <w:w w:val="105"/>
          <w:sz w:val="24"/>
          <w:szCs w:val="24"/>
        </w:rPr>
        <w:t>Trusting the consent-receiver(s) to act only within the scope of their consent is a necessary condition for valid consent.</w:t>
      </w:r>
    </w:p>
    <w:p w14:paraId="76D4851E" w14:textId="77777777" w:rsidR="00E90F1A" w:rsidRPr="000075D8" w:rsidRDefault="00E90F1A" w:rsidP="00F9297B">
      <w:pPr>
        <w:pStyle w:val="BodyText"/>
        <w:spacing w:line="230" w:lineRule="auto"/>
        <w:ind w:left="120"/>
        <w:rPr>
          <w:rFonts w:ascii="Palatino Linotype"/>
          <w:bCs/>
          <w:spacing w:val="80"/>
          <w:w w:val="105"/>
          <w:sz w:val="24"/>
          <w:szCs w:val="24"/>
        </w:rPr>
      </w:pPr>
    </w:p>
    <w:p w14:paraId="758E490F" w14:textId="77777777" w:rsidR="00B72463" w:rsidRPr="000075D8" w:rsidRDefault="00B72463" w:rsidP="00F9297B">
      <w:pPr>
        <w:pStyle w:val="BodyText"/>
        <w:spacing w:line="230" w:lineRule="auto"/>
        <w:ind w:left="120"/>
        <w:rPr>
          <w:rFonts w:ascii="Palatino Linotype"/>
          <w:bCs/>
          <w:spacing w:val="80"/>
          <w:w w:val="105"/>
          <w:sz w:val="24"/>
          <w:szCs w:val="24"/>
        </w:rPr>
      </w:pPr>
    </w:p>
    <w:p w14:paraId="1FF09129" w14:textId="77777777" w:rsidR="00F9297B" w:rsidRPr="000075D8" w:rsidRDefault="00F9297B" w:rsidP="00F9297B">
      <w:pPr>
        <w:pStyle w:val="BodyText"/>
        <w:spacing w:line="230" w:lineRule="auto"/>
        <w:ind w:left="120"/>
        <w:rPr>
          <w:sz w:val="24"/>
          <w:szCs w:val="24"/>
        </w:rPr>
      </w:pPr>
    </w:p>
    <w:p w14:paraId="54CEF9E0" w14:textId="0507FA5F" w:rsidR="00330E00" w:rsidRPr="00E90F1A" w:rsidRDefault="00330E00" w:rsidP="00330E00">
      <w:pPr>
        <w:pStyle w:val="ListParagraph"/>
        <w:numPr>
          <w:ilvl w:val="0"/>
          <w:numId w:val="1"/>
        </w:numPr>
        <w:jc w:val="center"/>
        <w:rPr>
          <w:bCs/>
          <w:sz w:val="28"/>
          <w:szCs w:val="28"/>
          <w:u w:val="single"/>
        </w:rPr>
      </w:pPr>
      <w:r w:rsidRPr="00E90F1A">
        <w:rPr>
          <w:bCs/>
          <w:sz w:val="28"/>
          <w:szCs w:val="28"/>
          <w:u w:val="single"/>
        </w:rPr>
        <w:t>Trust as a Belief in One’s Commitment</w:t>
      </w:r>
    </w:p>
    <w:p w14:paraId="58DAB8B8" w14:textId="754011D6" w:rsidR="00E90F1A" w:rsidRDefault="00E90F1A" w:rsidP="00E90F1A">
      <w:pPr>
        <w:pStyle w:val="ListParagraph"/>
        <w:numPr>
          <w:ilvl w:val="0"/>
          <w:numId w:val="18"/>
        </w:numPr>
        <w:spacing w:before="204"/>
        <w:rPr>
          <w:sz w:val="24"/>
          <w:szCs w:val="24"/>
        </w:rPr>
      </w:pPr>
      <w:r>
        <w:rPr>
          <w:sz w:val="24"/>
          <w:szCs w:val="24"/>
        </w:rPr>
        <w:t xml:space="preserve">Trust </w:t>
      </w:r>
      <w:r w:rsidR="00297D8A">
        <w:rPr>
          <w:sz w:val="24"/>
          <w:szCs w:val="24"/>
        </w:rPr>
        <w:t xml:space="preserve">as more than mere reliance </w:t>
      </w:r>
      <w:r w:rsidR="00297D8A" w:rsidRPr="00297D8A">
        <w:rPr>
          <w:sz w:val="24"/>
          <w:szCs w:val="24"/>
        </w:rPr>
        <w:t>(Marušić 2017; McLeod 2021)</w:t>
      </w:r>
    </w:p>
    <w:p w14:paraId="229C6D4B" w14:textId="6005EB9B" w:rsidR="00C643A6" w:rsidRPr="00E90F1A" w:rsidRDefault="00C643A6" w:rsidP="00E90F1A">
      <w:pPr>
        <w:pStyle w:val="ListParagraph"/>
        <w:numPr>
          <w:ilvl w:val="0"/>
          <w:numId w:val="18"/>
        </w:numPr>
        <w:spacing w:before="204"/>
        <w:rPr>
          <w:sz w:val="24"/>
          <w:szCs w:val="24"/>
        </w:rPr>
      </w:pPr>
      <w:r w:rsidRPr="00E90F1A">
        <w:rPr>
          <w:sz w:val="24"/>
          <w:szCs w:val="24"/>
        </w:rPr>
        <w:t>Trust encompass</w:t>
      </w:r>
      <w:r w:rsidR="00E90F1A">
        <w:rPr>
          <w:sz w:val="24"/>
          <w:szCs w:val="24"/>
        </w:rPr>
        <w:t>ing</w:t>
      </w:r>
      <w:r w:rsidRPr="00E90F1A">
        <w:rPr>
          <w:sz w:val="24"/>
          <w:szCs w:val="24"/>
        </w:rPr>
        <w:t xml:space="preserve"> the expectation that a person has concerning their co-agent's capacity and willingness to act according to consent. </w:t>
      </w:r>
    </w:p>
    <w:p w14:paraId="50C6EA6E" w14:textId="05AB9B2E" w:rsidR="00B72463" w:rsidRPr="00E90F1A" w:rsidRDefault="00C643A6" w:rsidP="00E90F1A">
      <w:pPr>
        <w:pStyle w:val="ListParagraph"/>
        <w:numPr>
          <w:ilvl w:val="0"/>
          <w:numId w:val="18"/>
        </w:numPr>
        <w:spacing w:before="204"/>
        <w:rPr>
          <w:sz w:val="24"/>
          <w:szCs w:val="24"/>
        </w:rPr>
      </w:pPr>
      <w:r w:rsidRPr="00E90F1A">
        <w:rPr>
          <w:sz w:val="24"/>
          <w:szCs w:val="24"/>
        </w:rPr>
        <w:t xml:space="preserve">In this paper, I adopt Katherine Hawley’s </w:t>
      </w:r>
      <w:proofErr w:type="gramStart"/>
      <w:r w:rsidR="00330E00" w:rsidRPr="00E90F1A">
        <w:rPr>
          <w:sz w:val="24"/>
          <w:szCs w:val="24"/>
        </w:rPr>
        <w:t>In</w:t>
      </w:r>
      <w:proofErr w:type="gramEnd"/>
      <w:r w:rsidR="00330E00" w:rsidRPr="00E90F1A">
        <w:rPr>
          <w:sz w:val="24"/>
          <w:szCs w:val="24"/>
        </w:rPr>
        <w:t xml:space="preserve"> this paper, I adopt Katherine Hawley’s (2014, 2017) </w:t>
      </w:r>
      <w:r w:rsidRPr="00E90F1A">
        <w:rPr>
          <w:sz w:val="24"/>
          <w:szCs w:val="24"/>
        </w:rPr>
        <w:t>conception of trust: a belief that the trustee is competent and committed to doing what they are trusted to do.</w:t>
      </w:r>
    </w:p>
    <w:p w14:paraId="1BBE7601" w14:textId="6E95ADA5" w:rsidR="00F9297B" w:rsidRPr="000075D8" w:rsidRDefault="00F9297B" w:rsidP="00330E00">
      <w:pPr>
        <w:pStyle w:val="BodyText"/>
        <w:spacing w:line="230" w:lineRule="auto"/>
        <w:ind w:left="120"/>
        <w:rPr>
          <w:sz w:val="24"/>
          <w:szCs w:val="24"/>
        </w:rPr>
      </w:pPr>
    </w:p>
    <w:p w14:paraId="73364D14" w14:textId="77777777" w:rsidR="00B72463" w:rsidRPr="000075D8" w:rsidRDefault="00B72463" w:rsidP="00B72463">
      <w:pPr>
        <w:pStyle w:val="BodyText"/>
        <w:spacing w:line="230" w:lineRule="auto"/>
        <w:ind w:left="120"/>
        <w:rPr>
          <w:sz w:val="24"/>
          <w:szCs w:val="24"/>
        </w:rPr>
      </w:pPr>
    </w:p>
    <w:p w14:paraId="0537F028" w14:textId="1BF4C607" w:rsidR="00B72463" w:rsidRPr="00E90F1A" w:rsidRDefault="00B72463" w:rsidP="00B72463">
      <w:pPr>
        <w:pStyle w:val="ListParagraph"/>
        <w:numPr>
          <w:ilvl w:val="0"/>
          <w:numId w:val="1"/>
        </w:numPr>
        <w:jc w:val="center"/>
        <w:rPr>
          <w:bCs/>
          <w:sz w:val="28"/>
          <w:szCs w:val="28"/>
          <w:u w:val="single"/>
        </w:rPr>
      </w:pPr>
      <w:r w:rsidRPr="00E90F1A">
        <w:rPr>
          <w:bCs/>
          <w:sz w:val="28"/>
          <w:szCs w:val="28"/>
          <w:u w:val="single"/>
        </w:rPr>
        <w:t xml:space="preserve">Trust </w:t>
      </w:r>
      <w:r w:rsidRPr="00E90F1A">
        <w:rPr>
          <w:bCs/>
          <w:sz w:val="28"/>
          <w:szCs w:val="28"/>
          <w:u w:val="single"/>
        </w:rPr>
        <w:t>in Consent</w:t>
      </w:r>
    </w:p>
    <w:p w14:paraId="3FF53917" w14:textId="77777777" w:rsidR="00B72463" w:rsidRPr="000075D8" w:rsidRDefault="00B72463" w:rsidP="00B72463">
      <w:pPr>
        <w:pStyle w:val="BodyText"/>
        <w:spacing w:line="230" w:lineRule="auto"/>
        <w:ind w:left="120"/>
        <w:rPr>
          <w:sz w:val="24"/>
          <w:szCs w:val="24"/>
        </w:rPr>
      </w:pPr>
    </w:p>
    <w:p w14:paraId="78C342A2" w14:textId="5EE8352A" w:rsidR="00B72463" w:rsidRPr="000075D8" w:rsidRDefault="00B72463" w:rsidP="00B72463">
      <w:pPr>
        <w:pStyle w:val="BodyText"/>
        <w:spacing w:line="230" w:lineRule="auto"/>
        <w:ind w:left="120"/>
        <w:rPr>
          <w:sz w:val="24"/>
          <w:szCs w:val="24"/>
        </w:rPr>
      </w:pPr>
      <w:r w:rsidRPr="000075D8">
        <w:rPr>
          <w:sz w:val="24"/>
          <w:szCs w:val="24"/>
        </w:rPr>
        <w:t xml:space="preserve">Introducing trust as a </w:t>
      </w:r>
      <w:r w:rsidR="00C643A6" w:rsidRPr="000075D8">
        <w:rPr>
          <w:sz w:val="24"/>
          <w:szCs w:val="24"/>
        </w:rPr>
        <w:t>condition</w:t>
      </w:r>
      <w:r w:rsidRPr="000075D8">
        <w:rPr>
          <w:sz w:val="24"/>
          <w:szCs w:val="24"/>
        </w:rPr>
        <w:t xml:space="preserve"> for valid consent, the trustor and trustee become the consent-giver and the consent-receiver, respectively.</w:t>
      </w:r>
    </w:p>
    <w:p w14:paraId="472507F5" w14:textId="5E901C21" w:rsidR="00B72463" w:rsidRPr="000075D8" w:rsidRDefault="00B72463" w:rsidP="00B72463">
      <w:pPr>
        <w:pStyle w:val="Heading2"/>
        <w:spacing w:before="133"/>
        <w:rPr>
          <w:rFonts w:ascii="Palatino Linotype" w:hAnsi="Palatino Linotype"/>
          <w:b/>
          <w:bCs/>
          <w:color w:val="auto"/>
          <w:sz w:val="24"/>
          <w:szCs w:val="24"/>
        </w:rPr>
      </w:pPr>
      <w:r w:rsidRPr="000075D8">
        <w:rPr>
          <w:rFonts w:ascii="Palatino Linotype" w:hAnsi="Palatino Linotype"/>
          <w:b/>
          <w:bCs/>
          <w:color w:val="auto"/>
          <w:sz w:val="24"/>
          <w:szCs w:val="24"/>
        </w:rPr>
        <w:lastRenderedPageBreak/>
        <w:t xml:space="preserve">How </w:t>
      </w:r>
      <w:r w:rsidRPr="000075D8">
        <w:rPr>
          <w:rFonts w:ascii="Palatino Linotype" w:hAnsi="Palatino Linotype" w:hint="cs"/>
          <w:b/>
          <w:bCs/>
          <w:color w:val="auto"/>
          <w:sz w:val="24"/>
          <w:szCs w:val="24"/>
        </w:rPr>
        <w:t>H</w:t>
      </w:r>
      <w:r w:rsidRPr="000075D8">
        <w:rPr>
          <w:rFonts w:ascii="Palatino Linotype" w:hAnsi="Palatino Linotype"/>
          <w:b/>
          <w:bCs/>
          <w:color w:val="auto"/>
          <w:sz w:val="24"/>
          <w:szCs w:val="24"/>
          <w:lang w:bidi="he-IL"/>
        </w:rPr>
        <w:t>awley’s account</w:t>
      </w:r>
      <w:r w:rsidRPr="000075D8">
        <w:rPr>
          <w:rFonts w:ascii="Palatino Linotype" w:hAnsi="Palatino Linotype"/>
          <w:b/>
          <w:bCs/>
          <w:color w:val="auto"/>
          <w:sz w:val="24"/>
          <w:szCs w:val="24"/>
        </w:rPr>
        <w:t xml:space="preserve"> of trust helps us </w:t>
      </w:r>
      <w:r w:rsidR="00A04F6E" w:rsidRPr="000075D8">
        <w:rPr>
          <w:rFonts w:ascii="Palatino Linotype" w:hAnsi="Palatino Linotype"/>
          <w:b/>
          <w:bCs/>
          <w:color w:val="auto"/>
          <w:sz w:val="24"/>
          <w:szCs w:val="24"/>
        </w:rPr>
        <w:t xml:space="preserve">in </w:t>
      </w:r>
      <w:r w:rsidRPr="000075D8">
        <w:rPr>
          <w:rFonts w:ascii="Palatino Linotype" w:hAnsi="Palatino Linotype"/>
          <w:b/>
          <w:bCs/>
          <w:color w:val="auto"/>
          <w:sz w:val="24"/>
          <w:szCs w:val="24"/>
        </w:rPr>
        <w:t>thinking about consent?</w:t>
      </w:r>
      <w:r w:rsidR="000075D8">
        <w:rPr>
          <w:rFonts w:ascii="Palatino Linotype" w:hAnsi="Palatino Linotype"/>
          <w:b/>
          <w:bCs/>
          <w:color w:val="auto"/>
          <w:sz w:val="24"/>
          <w:szCs w:val="24"/>
        </w:rPr>
        <w:br/>
      </w:r>
    </w:p>
    <w:p w14:paraId="588275EB" w14:textId="080999B4" w:rsidR="00C643A6" w:rsidRPr="000075D8" w:rsidRDefault="005D2CD1" w:rsidP="00C643A6">
      <w:pPr>
        <w:pStyle w:val="ListParagraph"/>
        <w:numPr>
          <w:ilvl w:val="0"/>
          <w:numId w:val="7"/>
        </w:numPr>
        <w:tabs>
          <w:tab w:val="left" w:pos="517"/>
        </w:tabs>
        <w:ind w:left="517" w:hanging="219"/>
        <w:rPr>
          <w:i/>
          <w:iCs/>
          <w:sz w:val="24"/>
          <w:szCs w:val="24"/>
        </w:rPr>
      </w:pPr>
      <w:r w:rsidRPr="000075D8">
        <w:rPr>
          <w:sz w:val="24"/>
          <w:szCs w:val="24"/>
        </w:rPr>
        <w:t xml:space="preserve">No </w:t>
      </w:r>
      <w:r w:rsidR="00C643A6" w:rsidRPr="000075D8">
        <w:rPr>
          <w:sz w:val="24"/>
          <w:szCs w:val="24"/>
        </w:rPr>
        <w:t>demands on the consent-receiver’s motives</w:t>
      </w:r>
      <w:r w:rsidRPr="000075D8">
        <w:rPr>
          <w:sz w:val="24"/>
          <w:szCs w:val="24"/>
        </w:rPr>
        <w:t xml:space="preserve"> </w:t>
      </w:r>
      <w:r w:rsidR="00C643A6" w:rsidRPr="000075D8">
        <w:rPr>
          <w:sz w:val="24"/>
          <w:szCs w:val="24"/>
        </w:rPr>
        <w:t>(2014, 16</w:t>
      </w:r>
      <w:proofErr w:type="gramStart"/>
      <w:r w:rsidR="00C643A6" w:rsidRPr="000075D8">
        <w:rPr>
          <w:sz w:val="24"/>
          <w:szCs w:val="24"/>
        </w:rPr>
        <w:t>)</w:t>
      </w:r>
      <w:r w:rsidR="00C643A6" w:rsidRPr="000075D8">
        <w:rPr>
          <w:sz w:val="24"/>
          <w:szCs w:val="24"/>
        </w:rPr>
        <w:t xml:space="preserve"> </w:t>
      </w:r>
      <w:r w:rsidR="00C643A6" w:rsidRPr="000075D8">
        <w:rPr>
          <w:sz w:val="24"/>
          <w:szCs w:val="24"/>
        </w:rPr>
        <w:t>,</w:t>
      </w:r>
      <w:proofErr w:type="gramEnd"/>
      <w:r w:rsidR="00C643A6" w:rsidRPr="000075D8">
        <w:rPr>
          <w:sz w:val="24"/>
          <w:szCs w:val="24"/>
        </w:rPr>
        <w:t xml:space="preserve"> which would raise the bar too high</w:t>
      </w:r>
      <w:r w:rsidR="00C643A6" w:rsidRPr="000075D8">
        <w:rPr>
          <w:sz w:val="24"/>
          <w:szCs w:val="24"/>
        </w:rPr>
        <w:t xml:space="preserve">, </w:t>
      </w:r>
      <w:r w:rsidR="00C643A6" w:rsidRPr="000075D8">
        <w:rPr>
          <w:sz w:val="24"/>
          <w:szCs w:val="24"/>
        </w:rPr>
        <w:t>rendering many daily practices non-consensual</w:t>
      </w:r>
      <w:r w:rsidR="00C643A6" w:rsidRPr="000075D8">
        <w:rPr>
          <w:sz w:val="24"/>
          <w:szCs w:val="24"/>
        </w:rPr>
        <w:t>.</w:t>
      </w:r>
      <w:r w:rsidR="00C643A6" w:rsidRPr="000075D8">
        <w:rPr>
          <w:sz w:val="24"/>
          <w:szCs w:val="24"/>
        </w:rPr>
        <w:br/>
      </w:r>
      <w:r w:rsidR="00C643A6" w:rsidRPr="000075D8">
        <w:rPr>
          <w:i/>
          <w:iCs/>
          <w:sz w:val="24"/>
          <w:szCs w:val="24"/>
        </w:rPr>
        <w:t xml:space="preserve">Examples: the valet, the physician, the dance-partner. </w:t>
      </w:r>
      <w:r w:rsidR="00E90F1A">
        <w:rPr>
          <w:i/>
          <w:iCs/>
          <w:sz w:val="24"/>
          <w:szCs w:val="24"/>
        </w:rPr>
        <w:br/>
      </w:r>
    </w:p>
    <w:p w14:paraId="35BD4AF5" w14:textId="08F18325" w:rsidR="00C643A6" w:rsidRPr="000075D8" w:rsidRDefault="00C643A6" w:rsidP="00295C4F">
      <w:pPr>
        <w:pStyle w:val="ListParagraph"/>
        <w:numPr>
          <w:ilvl w:val="0"/>
          <w:numId w:val="7"/>
        </w:numPr>
        <w:tabs>
          <w:tab w:val="left" w:pos="517"/>
        </w:tabs>
        <w:ind w:left="517" w:hanging="219"/>
        <w:rPr>
          <w:sz w:val="24"/>
          <w:szCs w:val="24"/>
        </w:rPr>
      </w:pPr>
      <w:r w:rsidRPr="000075D8">
        <w:rPr>
          <w:sz w:val="24"/>
          <w:szCs w:val="24"/>
        </w:rPr>
        <w:t>Acknowledges the consent-receiver(s) as active agents</w:t>
      </w:r>
      <w:r w:rsidR="005D2CD1" w:rsidRPr="000075D8">
        <w:rPr>
          <w:sz w:val="24"/>
          <w:szCs w:val="24"/>
        </w:rPr>
        <w:t>,</w:t>
      </w:r>
      <w:r w:rsidRPr="000075D8">
        <w:rPr>
          <w:sz w:val="24"/>
          <w:szCs w:val="24"/>
        </w:rPr>
        <w:t xml:space="preserve"> willing (and accountable) participants in the shared activity in which we are engaged.</w:t>
      </w:r>
      <w:r w:rsidR="000075D8">
        <w:rPr>
          <w:sz w:val="24"/>
          <w:szCs w:val="24"/>
        </w:rPr>
        <w:br/>
      </w:r>
    </w:p>
    <w:p w14:paraId="064429DF" w14:textId="3440D744" w:rsidR="00C643A6" w:rsidRPr="000075D8" w:rsidRDefault="005D2CD1" w:rsidP="00C643A6">
      <w:pPr>
        <w:pStyle w:val="ListParagraph"/>
        <w:numPr>
          <w:ilvl w:val="0"/>
          <w:numId w:val="7"/>
        </w:numPr>
        <w:tabs>
          <w:tab w:val="left" w:pos="517"/>
        </w:tabs>
        <w:ind w:left="517" w:hanging="219"/>
        <w:rPr>
          <w:sz w:val="24"/>
          <w:szCs w:val="24"/>
        </w:rPr>
      </w:pPr>
      <w:bookmarkStart w:id="2" w:name="Informed_Choice_of_Views"/>
      <w:bookmarkEnd w:id="2"/>
      <w:r w:rsidRPr="000075D8">
        <w:rPr>
          <w:sz w:val="24"/>
          <w:szCs w:val="24"/>
        </w:rPr>
        <w:t>T</w:t>
      </w:r>
      <w:r w:rsidR="00C643A6" w:rsidRPr="000075D8">
        <w:rPr>
          <w:sz w:val="24"/>
          <w:szCs w:val="24"/>
        </w:rPr>
        <w:t xml:space="preserve">he </w:t>
      </w:r>
      <w:r w:rsidRPr="000075D8">
        <w:rPr>
          <w:sz w:val="24"/>
          <w:szCs w:val="24"/>
        </w:rPr>
        <w:t xml:space="preserve">consent-receiver’s </w:t>
      </w:r>
      <w:r w:rsidR="00C643A6" w:rsidRPr="000075D8">
        <w:rPr>
          <w:sz w:val="24"/>
          <w:szCs w:val="24"/>
        </w:rPr>
        <w:t>actions as a primary consideration in one’s decision to consent</w:t>
      </w:r>
      <w:r w:rsidR="00C643A6" w:rsidRPr="000075D8">
        <w:rPr>
          <w:sz w:val="24"/>
          <w:szCs w:val="24"/>
        </w:rPr>
        <w:t xml:space="preserve"> </w:t>
      </w:r>
      <w:r w:rsidR="00C643A6" w:rsidRPr="000075D8">
        <w:rPr>
          <w:sz w:val="24"/>
          <w:szCs w:val="24"/>
        </w:rPr>
        <w:t>(2014, 16).</w:t>
      </w:r>
      <w:r w:rsidR="000075D8">
        <w:rPr>
          <w:sz w:val="24"/>
          <w:szCs w:val="24"/>
        </w:rPr>
        <w:br/>
      </w:r>
    </w:p>
    <w:p w14:paraId="762B14AF" w14:textId="5993FCD9" w:rsidR="008C1F80" w:rsidRPr="000075D8" w:rsidRDefault="008C1F80" w:rsidP="008C1F80">
      <w:pPr>
        <w:pStyle w:val="Heading2"/>
        <w:spacing w:before="133"/>
        <w:rPr>
          <w:rFonts w:ascii="Palatino Linotype" w:hAnsi="Palatino Linotype"/>
          <w:b/>
          <w:bCs/>
          <w:color w:val="auto"/>
          <w:sz w:val="24"/>
          <w:szCs w:val="24"/>
        </w:rPr>
      </w:pPr>
      <w:r w:rsidRPr="000075D8">
        <w:rPr>
          <w:rFonts w:ascii="Palatino Linotype" w:hAnsi="Palatino Linotype"/>
          <w:b/>
          <w:bCs/>
          <w:color w:val="auto"/>
          <w:sz w:val="24"/>
          <w:szCs w:val="24"/>
        </w:rPr>
        <w:t>Justified Trust</w:t>
      </w:r>
      <w:r w:rsidR="000075D8">
        <w:rPr>
          <w:rFonts w:ascii="Palatino Linotype" w:hAnsi="Palatino Linotype"/>
          <w:b/>
          <w:bCs/>
          <w:color w:val="auto"/>
          <w:sz w:val="24"/>
          <w:szCs w:val="24"/>
        </w:rPr>
        <w:br/>
      </w:r>
    </w:p>
    <w:p w14:paraId="0672E520" w14:textId="51B56FEF" w:rsidR="00297D8A" w:rsidRDefault="008C1F80" w:rsidP="008C1F80">
      <w:pPr>
        <w:pStyle w:val="ListParagraph"/>
        <w:numPr>
          <w:ilvl w:val="0"/>
          <w:numId w:val="8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>The knowledge analogy</w:t>
      </w:r>
      <w:r w:rsidR="00297D8A">
        <w:rPr>
          <w:sz w:val="24"/>
          <w:szCs w:val="24"/>
        </w:rPr>
        <w:t>.</w:t>
      </w:r>
      <w:r w:rsidR="00297D8A">
        <w:rPr>
          <w:sz w:val="24"/>
          <w:szCs w:val="24"/>
        </w:rPr>
        <w:br/>
      </w:r>
    </w:p>
    <w:p w14:paraId="47B7C52D" w14:textId="38940E73" w:rsidR="00297D8A" w:rsidRDefault="00297D8A" w:rsidP="008C1F80">
      <w:pPr>
        <w:pStyle w:val="ListParagraph"/>
        <w:numPr>
          <w:ilvl w:val="0"/>
          <w:numId w:val="8"/>
        </w:numPr>
        <w:tabs>
          <w:tab w:val="left" w:pos="517"/>
        </w:tabs>
        <w:rPr>
          <w:sz w:val="24"/>
          <w:szCs w:val="24"/>
        </w:rPr>
      </w:pPr>
      <w:r w:rsidRPr="00297D8A">
        <w:rPr>
          <w:sz w:val="24"/>
          <w:szCs w:val="24"/>
        </w:rPr>
        <w:t xml:space="preserve">“Consent turns a rape into </w:t>
      </w:r>
      <w:proofErr w:type="gramStart"/>
      <w:r w:rsidRPr="00297D8A">
        <w:rPr>
          <w:sz w:val="24"/>
          <w:szCs w:val="24"/>
        </w:rPr>
        <w:t>love-making</w:t>
      </w:r>
      <w:proofErr w:type="gramEnd"/>
      <w:r w:rsidRPr="00297D8A">
        <w:rPr>
          <w:sz w:val="24"/>
          <w:szCs w:val="24"/>
        </w:rPr>
        <w:t>, a kidnapping into a Sunday drive, a battery into a football tackle, a theft into a gift, and a trespass into a dinner party” (Hurd 2004, 504)</w:t>
      </w:r>
      <w:r>
        <w:rPr>
          <w:sz w:val="24"/>
          <w:szCs w:val="24"/>
        </w:rPr>
        <w:br/>
      </w:r>
    </w:p>
    <w:p w14:paraId="45C9B5D6" w14:textId="00CCB13B" w:rsidR="008C1F80" w:rsidRPr="000075D8" w:rsidRDefault="008C1F80" w:rsidP="008C1F80">
      <w:pPr>
        <w:pStyle w:val="ListParagraph"/>
        <w:numPr>
          <w:ilvl w:val="0"/>
          <w:numId w:val="8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 xml:space="preserve">Just as knowledge acquires its normative stance by virtue of </w:t>
      </w:r>
      <w:r w:rsidRPr="000075D8">
        <w:rPr>
          <w:sz w:val="24"/>
          <w:szCs w:val="24"/>
        </w:rPr>
        <w:t>justification for holding a belief</w:t>
      </w:r>
      <w:r w:rsidRPr="000075D8">
        <w:rPr>
          <w:sz w:val="24"/>
          <w:szCs w:val="24"/>
        </w:rPr>
        <w:t xml:space="preserve">, consent has </w:t>
      </w:r>
      <w:r w:rsidRPr="000075D8">
        <w:rPr>
          <w:sz w:val="24"/>
          <w:szCs w:val="24"/>
        </w:rPr>
        <w:t>its</w:t>
      </w:r>
      <w:r w:rsidRPr="000075D8">
        <w:rPr>
          <w:sz w:val="24"/>
          <w:szCs w:val="24"/>
        </w:rPr>
        <w:t xml:space="preserve"> normative power by virtue of </w:t>
      </w:r>
      <w:r w:rsidRPr="000075D8">
        <w:rPr>
          <w:sz w:val="24"/>
          <w:szCs w:val="24"/>
        </w:rPr>
        <w:t>the justification for trusting.</w:t>
      </w:r>
      <w:r w:rsidR="000075D8">
        <w:rPr>
          <w:sz w:val="24"/>
          <w:szCs w:val="24"/>
        </w:rPr>
        <w:br/>
      </w:r>
    </w:p>
    <w:p w14:paraId="5840D5CE" w14:textId="2CF3736B" w:rsidR="008C1F80" w:rsidRPr="000075D8" w:rsidRDefault="008C1F80" w:rsidP="008C1F80">
      <w:pPr>
        <w:pStyle w:val="ListParagraph"/>
        <w:numPr>
          <w:ilvl w:val="0"/>
          <w:numId w:val="8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>Th</w:t>
      </w:r>
      <w:r w:rsidRPr="000075D8">
        <w:rPr>
          <w:sz w:val="24"/>
          <w:szCs w:val="24"/>
        </w:rPr>
        <w:t>erefore</w:t>
      </w:r>
      <w:r w:rsidRPr="000075D8">
        <w:rPr>
          <w:sz w:val="24"/>
          <w:szCs w:val="24"/>
        </w:rPr>
        <w:t>, for appropriately fulfilling TC, A must properly (i.e.</w:t>
      </w:r>
      <w:r w:rsidR="001D5C09" w:rsidRPr="000075D8">
        <w:rPr>
          <w:sz w:val="24"/>
          <w:szCs w:val="24"/>
        </w:rPr>
        <w:t>, justifiably</w:t>
      </w:r>
      <w:r w:rsidRPr="000075D8">
        <w:rPr>
          <w:sz w:val="24"/>
          <w:szCs w:val="24"/>
        </w:rPr>
        <w:t>) trust B to only ϕ with A's consent, and refrain from undertaking any actions beyond ϕ on A without further consent.</w:t>
      </w:r>
      <w:r w:rsidR="000075D8">
        <w:rPr>
          <w:sz w:val="24"/>
          <w:szCs w:val="24"/>
        </w:rPr>
        <w:br/>
      </w:r>
    </w:p>
    <w:p w14:paraId="3FBA07BD" w14:textId="129FA4D8" w:rsidR="008C1F80" w:rsidRPr="000075D8" w:rsidRDefault="008C1F80" w:rsidP="008C1F80">
      <w:pPr>
        <w:pStyle w:val="ListParagraph"/>
        <w:numPr>
          <w:ilvl w:val="0"/>
          <w:numId w:val="8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>The problems of consent without justified trust:</w:t>
      </w:r>
      <w:r w:rsidRPr="000075D8">
        <w:rPr>
          <w:sz w:val="24"/>
          <w:szCs w:val="24"/>
        </w:rPr>
        <w:br/>
        <w:t>(</w:t>
      </w:r>
      <w:proofErr w:type="spellStart"/>
      <w:r w:rsidRPr="000075D8">
        <w:rPr>
          <w:sz w:val="24"/>
          <w:szCs w:val="24"/>
        </w:rPr>
        <w:t>i</w:t>
      </w:r>
      <w:proofErr w:type="spellEnd"/>
      <w:r w:rsidRPr="000075D8">
        <w:rPr>
          <w:sz w:val="24"/>
          <w:szCs w:val="24"/>
        </w:rPr>
        <w:t>) The effectiveness of consent is left to chance.</w:t>
      </w:r>
      <w:r w:rsidRPr="000075D8">
        <w:rPr>
          <w:sz w:val="24"/>
          <w:szCs w:val="24"/>
        </w:rPr>
        <w:br/>
        <w:t>(ii) The plumber case.</w:t>
      </w:r>
      <w:r w:rsidR="000075D8">
        <w:rPr>
          <w:sz w:val="24"/>
          <w:szCs w:val="24"/>
        </w:rPr>
        <w:br/>
      </w:r>
    </w:p>
    <w:p w14:paraId="0EDCB7A0" w14:textId="1D57E906" w:rsidR="008C1F80" w:rsidRPr="000075D8" w:rsidRDefault="008C1F80" w:rsidP="008C1F80">
      <w:pPr>
        <w:pStyle w:val="Heading2"/>
        <w:spacing w:before="133"/>
        <w:rPr>
          <w:rFonts w:ascii="Palatino Linotype" w:hAnsi="Palatino Linotype"/>
          <w:b/>
          <w:bCs/>
          <w:color w:val="auto"/>
          <w:sz w:val="24"/>
          <w:szCs w:val="24"/>
        </w:rPr>
      </w:pPr>
      <w:r w:rsidRPr="000075D8">
        <w:rPr>
          <w:rFonts w:ascii="Palatino Linotype" w:hAnsi="Palatino Linotype"/>
          <w:b/>
          <w:bCs/>
          <w:i/>
          <w:iCs/>
          <w:color w:val="auto"/>
          <w:sz w:val="24"/>
          <w:szCs w:val="24"/>
        </w:rPr>
        <w:t>TC</w:t>
      </w:r>
      <w:r w:rsidRPr="000075D8">
        <w:rPr>
          <w:rFonts w:ascii="Palatino Linotype" w:hAnsi="Palatino Linotype"/>
          <w:b/>
          <w:bCs/>
          <w:color w:val="auto"/>
          <w:sz w:val="24"/>
          <w:szCs w:val="24"/>
        </w:rPr>
        <w:t xml:space="preserve"> in our daily practices of consent</w:t>
      </w:r>
      <w:r w:rsidR="000075D8">
        <w:rPr>
          <w:rFonts w:ascii="Palatino Linotype" w:hAnsi="Palatino Linotype"/>
          <w:b/>
          <w:bCs/>
          <w:color w:val="auto"/>
          <w:sz w:val="24"/>
          <w:szCs w:val="24"/>
        </w:rPr>
        <w:br/>
      </w:r>
    </w:p>
    <w:p w14:paraId="2F70D108" w14:textId="095D5F22" w:rsidR="008C1F80" w:rsidRPr="000075D8" w:rsidRDefault="008C1F80" w:rsidP="008C1F80">
      <w:pPr>
        <w:pStyle w:val="ListParagraph"/>
        <w:numPr>
          <w:ilvl w:val="0"/>
          <w:numId w:val="9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>Examples: Landlord consent; Medical consent.</w:t>
      </w:r>
    </w:p>
    <w:p w14:paraId="52A8CAD5" w14:textId="77777777" w:rsidR="00A04F6E" w:rsidRPr="000075D8" w:rsidRDefault="00A04F6E" w:rsidP="00A04F6E">
      <w:pPr>
        <w:tabs>
          <w:tab w:val="left" w:pos="517"/>
        </w:tabs>
        <w:rPr>
          <w:sz w:val="24"/>
          <w:szCs w:val="24"/>
        </w:rPr>
      </w:pPr>
    </w:p>
    <w:p w14:paraId="71FD9124" w14:textId="6F61CB20" w:rsidR="00A04F6E" w:rsidRPr="00E90F1A" w:rsidRDefault="00A04F6E" w:rsidP="00A04F6E">
      <w:pPr>
        <w:pStyle w:val="ListParagraph"/>
        <w:numPr>
          <w:ilvl w:val="0"/>
          <w:numId w:val="1"/>
        </w:numPr>
        <w:jc w:val="center"/>
        <w:rPr>
          <w:bCs/>
          <w:sz w:val="28"/>
          <w:szCs w:val="28"/>
          <w:u w:val="single"/>
        </w:rPr>
      </w:pPr>
      <w:r w:rsidRPr="00E90F1A">
        <w:rPr>
          <w:bCs/>
          <w:i/>
          <w:iCs/>
          <w:sz w:val="28"/>
          <w:szCs w:val="28"/>
          <w:u w:val="single"/>
        </w:rPr>
        <w:t>TC</w:t>
      </w:r>
      <w:r w:rsidRPr="00E90F1A">
        <w:rPr>
          <w:bCs/>
          <w:sz w:val="28"/>
          <w:szCs w:val="28"/>
          <w:u w:val="single"/>
        </w:rPr>
        <w:t xml:space="preserve"> in Sexual Consent</w:t>
      </w:r>
    </w:p>
    <w:p w14:paraId="27B6191A" w14:textId="77777777" w:rsidR="00A04F6E" w:rsidRPr="000075D8" w:rsidRDefault="00A04F6E" w:rsidP="00A04F6E">
      <w:pPr>
        <w:pStyle w:val="BodyText"/>
        <w:spacing w:line="230" w:lineRule="auto"/>
        <w:ind w:left="120"/>
        <w:rPr>
          <w:sz w:val="24"/>
          <w:szCs w:val="24"/>
        </w:rPr>
      </w:pPr>
    </w:p>
    <w:p w14:paraId="0C1AD615" w14:textId="7A8BDB7C" w:rsidR="00A04F6E" w:rsidRDefault="00A04F6E" w:rsidP="00A04F6E">
      <w:pPr>
        <w:pStyle w:val="Heading2"/>
        <w:spacing w:before="133"/>
        <w:rPr>
          <w:rFonts w:ascii="Palatino Linotype" w:hAnsi="Palatino Linotype"/>
          <w:b/>
          <w:bCs/>
          <w:color w:val="auto"/>
          <w:sz w:val="24"/>
          <w:szCs w:val="24"/>
        </w:rPr>
      </w:pPr>
      <w:r w:rsidRPr="000075D8">
        <w:rPr>
          <w:rFonts w:ascii="Palatino Linotype" w:hAnsi="Palatino Linotype"/>
          <w:b/>
          <w:bCs/>
          <w:color w:val="auto"/>
          <w:sz w:val="24"/>
          <w:szCs w:val="24"/>
        </w:rPr>
        <w:t>T</w:t>
      </w:r>
      <w:r w:rsidRPr="000075D8">
        <w:rPr>
          <w:rFonts w:ascii="Palatino Linotype" w:hAnsi="Palatino Linotype"/>
          <w:b/>
          <w:bCs/>
          <w:color w:val="auto"/>
          <w:sz w:val="24"/>
          <w:szCs w:val="24"/>
        </w:rPr>
        <w:t>he Non-Contractual Nature of Sex</w:t>
      </w:r>
    </w:p>
    <w:p w14:paraId="4063B054" w14:textId="77777777" w:rsidR="000075D8" w:rsidRPr="000075D8" w:rsidRDefault="000075D8" w:rsidP="000075D8"/>
    <w:p w14:paraId="59393A6F" w14:textId="1183A533" w:rsidR="00C216FF" w:rsidRPr="000075D8" w:rsidRDefault="00C216FF" w:rsidP="00C216FF">
      <w:pPr>
        <w:pStyle w:val="ListParagraph"/>
        <w:numPr>
          <w:ilvl w:val="0"/>
          <w:numId w:val="9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>Sexual consent i</w:t>
      </w:r>
      <w:r w:rsidRPr="000075D8">
        <w:rPr>
          <w:sz w:val="24"/>
          <w:szCs w:val="24"/>
        </w:rPr>
        <w:t>mplies terms, conditions, and boundaries</w:t>
      </w:r>
      <w:r w:rsidRPr="000075D8">
        <w:rPr>
          <w:sz w:val="24"/>
          <w:szCs w:val="24"/>
        </w:rPr>
        <w:t>, but a</w:t>
      </w:r>
      <w:r w:rsidRPr="000075D8">
        <w:rPr>
          <w:sz w:val="24"/>
          <w:szCs w:val="24"/>
        </w:rPr>
        <w:t>lso exhibits non-contractual aspects</w:t>
      </w:r>
      <w:r w:rsidRPr="000075D8">
        <w:rPr>
          <w:sz w:val="24"/>
          <w:szCs w:val="24"/>
        </w:rPr>
        <w:t xml:space="preserve"> due to the l</w:t>
      </w:r>
      <w:r w:rsidRPr="000075D8">
        <w:rPr>
          <w:sz w:val="24"/>
          <w:szCs w:val="24"/>
        </w:rPr>
        <w:t>ack of effective binding external factors</w:t>
      </w:r>
      <w:r w:rsidRPr="000075D8">
        <w:rPr>
          <w:sz w:val="24"/>
          <w:szCs w:val="24"/>
        </w:rPr>
        <w:t>, and t</w:t>
      </w:r>
      <w:r w:rsidRPr="000075D8">
        <w:rPr>
          <w:sz w:val="24"/>
          <w:szCs w:val="24"/>
        </w:rPr>
        <w:t>he dynamic nature of sexual desires.</w:t>
      </w:r>
      <w:r w:rsidR="000075D8">
        <w:rPr>
          <w:sz w:val="24"/>
          <w:szCs w:val="24"/>
        </w:rPr>
        <w:br/>
      </w:r>
    </w:p>
    <w:p w14:paraId="78561E31" w14:textId="77777777" w:rsidR="00297D8A" w:rsidRDefault="00C216FF" w:rsidP="00C216FF">
      <w:pPr>
        <w:pStyle w:val="ListParagraph"/>
        <w:numPr>
          <w:ilvl w:val="0"/>
          <w:numId w:val="9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 xml:space="preserve">The challenges in applying </w:t>
      </w:r>
      <w:r w:rsidRPr="000075D8">
        <w:rPr>
          <w:i/>
          <w:iCs/>
          <w:sz w:val="24"/>
          <w:szCs w:val="24"/>
        </w:rPr>
        <w:t>TC</w:t>
      </w:r>
      <w:r w:rsidRPr="000075D8">
        <w:rPr>
          <w:sz w:val="24"/>
          <w:szCs w:val="24"/>
        </w:rPr>
        <w:t xml:space="preserve"> to sexual consent: </w:t>
      </w:r>
      <w:r w:rsidRPr="000075D8">
        <w:rPr>
          <w:sz w:val="24"/>
          <w:szCs w:val="24"/>
        </w:rPr>
        <w:br/>
      </w:r>
      <w:r w:rsidRPr="000075D8">
        <w:rPr>
          <w:sz w:val="24"/>
          <w:szCs w:val="24"/>
        </w:rPr>
        <w:lastRenderedPageBreak/>
        <w:t>(</w:t>
      </w:r>
      <w:proofErr w:type="spellStart"/>
      <w:r w:rsidRPr="000075D8">
        <w:rPr>
          <w:sz w:val="24"/>
          <w:szCs w:val="24"/>
        </w:rPr>
        <w:t>i</w:t>
      </w:r>
      <w:proofErr w:type="spellEnd"/>
      <w:r w:rsidRPr="000075D8">
        <w:rPr>
          <w:sz w:val="24"/>
          <w:szCs w:val="24"/>
        </w:rPr>
        <w:t xml:space="preserve">) The </w:t>
      </w:r>
      <w:r w:rsidR="00CB2148" w:rsidRPr="000075D8">
        <w:rPr>
          <w:sz w:val="24"/>
          <w:szCs w:val="24"/>
        </w:rPr>
        <w:t>lack of binding external factors requires a commitment to the consensual character of the activity.</w:t>
      </w:r>
      <w:r w:rsidRPr="000075D8">
        <w:rPr>
          <w:sz w:val="24"/>
          <w:szCs w:val="24"/>
        </w:rPr>
        <w:br/>
        <w:t xml:space="preserve">(ii) </w:t>
      </w:r>
      <w:r w:rsidR="00CB2148" w:rsidRPr="000075D8">
        <w:rPr>
          <w:sz w:val="24"/>
          <w:szCs w:val="24"/>
        </w:rPr>
        <w:t xml:space="preserve">The vulnerability in sexual relationships, and the dynamic character of sexual desires requires </w:t>
      </w:r>
      <w:r w:rsidR="00CB2148" w:rsidRPr="000075D8">
        <w:rPr>
          <w:sz w:val="24"/>
          <w:szCs w:val="24"/>
        </w:rPr>
        <w:t>the partner to be attentive and sensitive to us in a way that can’t be reduced to a commitment to a certain scope of actions.</w:t>
      </w:r>
    </w:p>
    <w:p w14:paraId="25DB82A5" w14:textId="77777777" w:rsidR="00297D8A" w:rsidRDefault="00297D8A" w:rsidP="00297D8A">
      <w:pPr>
        <w:tabs>
          <w:tab w:val="left" w:pos="517"/>
        </w:tabs>
        <w:rPr>
          <w:sz w:val="24"/>
          <w:szCs w:val="24"/>
        </w:rPr>
      </w:pPr>
    </w:p>
    <w:p w14:paraId="18148C0A" w14:textId="3514877C" w:rsidR="00A04F6E" w:rsidRPr="00297D8A" w:rsidRDefault="00297D8A" w:rsidP="00297D8A">
      <w:pPr>
        <w:tabs>
          <w:tab w:val="left" w:pos="517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CF7B187" wp14:editId="1CC50311">
            <wp:extent cx="3280573" cy="1442085"/>
            <wp:effectExtent l="0" t="0" r="0" b="5715"/>
            <wp:docPr id="336090064" name="Picture 2" descr="Sex Ed for Adults: The Consent Lesson - Nurx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x Ed for Adults: The Consent Lesson - Nurx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19" cy="144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F1A" w:rsidRPr="00297D8A">
        <w:rPr>
          <w:sz w:val="24"/>
          <w:szCs w:val="24"/>
        </w:rPr>
        <w:br/>
      </w:r>
    </w:p>
    <w:p w14:paraId="3B28F4FE" w14:textId="4B704C80" w:rsidR="00A04F6E" w:rsidRPr="000075D8" w:rsidRDefault="00A04F6E" w:rsidP="00A04F6E">
      <w:pPr>
        <w:pStyle w:val="Heading2"/>
        <w:spacing w:before="133"/>
        <w:rPr>
          <w:rFonts w:ascii="Palatino Linotype" w:hAnsi="Palatino Linotype"/>
          <w:b/>
          <w:bCs/>
          <w:color w:val="auto"/>
          <w:sz w:val="24"/>
          <w:szCs w:val="24"/>
        </w:rPr>
      </w:pPr>
      <w:r w:rsidRPr="000075D8">
        <w:rPr>
          <w:rFonts w:ascii="Palatino Linotype" w:hAnsi="Palatino Linotype"/>
          <w:b/>
          <w:bCs/>
          <w:color w:val="auto"/>
          <w:sz w:val="24"/>
          <w:szCs w:val="24"/>
        </w:rPr>
        <w:t>Care Warranting Trust</w:t>
      </w:r>
      <w:r w:rsidR="000075D8">
        <w:rPr>
          <w:rFonts w:ascii="Palatino Linotype" w:hAnsi="Palatino Linotype"/>
          <w:b/>
          <w:bCs/>
          <w:color w:val="auto"/>
          <w:sz w:val="24"/>
          <w:szCs w:val="24"/>
        </w:rPr>
        <w:br/>
      </w:r>
    </w:p>
    <w:p w14:paraId="60125A8E" w14:textId="02835EFB" w:rsidR="00A04F6E" w:rsidRPr="000075D8" w:rsidRDefault="00CB2148" w:rsidP="00CB2148">
      <w:pPr>
        <w:pStyle w:val="ListParagraph"/>
        <w:numPr>
          <w:ilvl w:val="0"/>
          <w:numId w:val="11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>The solution: T</w:t>
      </w:r>
      <w:r w:rsidRPr="000075D8">
        <w:rPr>
          <w:sz w:val="24"/>
          <w:szCs w:val="24"/>
        </w:rPr>
        <w:t xml:space="preserve">hinking about </w:t>
      </w:r>
      <w:r w:rsidRPr="000075D8">
        <w:rPr>
          <w:i/>
          <w:iCs/>
          <w:sz w:val="24"/>
          <w:szCs w:val="24"/>
        </w:rPr>
        <w:t>TC</w:t>
      </w:r>
      <w:r w:rsidRPr="000075D8">
        <w:rPr>
          <w:sz w:val="24"/>
          <w:szCs w:val="24"/>
        </w:rPr>
        <w:t xml:space="preserve"> in terms of a general attentiveness, or “care” toward the consent-giver.</w:t>
      </w:r>
      <w:r w:rsidR="000075D8">
        <w:rPr>
          <w:sz w:val="24"/>
          <w:szCs w:val="24"/>
        </w:rPr>
        <w:br/>
      </w:r>
    </w:p>
    <w:p w14:paraId="27E2073A" w14:textId="04DF674E" w:rsidR="00CB2148" w:rsidRPr="000075D8" w:rsidRDefault="00CB2148" w:rsidP="00CB2148">
      <w:pPr>
        <w:pStyle w:val="ListParagraph"/>
        <w:numPr>
          <w:ilvl w:val="0"/>
          <w:numId w:val="11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>Relevant conceptions of care:</w:t>
      </w:r>
      <w:r w:rsidRPr="000075D8">
        <w:rPr>
          <w:sz w:val="24"/>
          <w:szCs w:val="24"/>
        </w:rPr>
        <w:br/>
      </w:r>
      <w:proofErr w:type="spellStart"/>
      <w:r w:rsidRPr="000075D8">
        <w:rPr>
          <w:sz w:val="24"/>
          <w:szCs w:val="24"/>
        </w:rPr>
        <w:t>Gheaus</w:t>
      </w:r>
      <w:proofErr w:type="spellEnd"/>
      <w:r w:rsidRPr="000075D8">
        <w:rPr>
          <w:sz w:val="24"/>
          <w:szCs w:val="24"/>
        </w:rPr>
        <w:t xml:space="preserve"> (2022)</w:t>
      </w:r>
      <w:r w:rsidRPr="000075D8">
        <w:rPr>
          <w:sz w:val="24"/>
          <w:szCs w:val="24"/>
        </w:rPr>
        <w:t xml:space="preserve">: </w:t>
      </w:r>
      <w:r w:rsidRPr="000075D8">
        <w:rPr>
          <w:sz w:val="24"/>
          <w:szCs w:val="24"/>
        </w:rPr>
        <w:t>“a disposition to behave in specific ways: being attentive and sensitive to the needs of others and being willing to assist them.”</w:t>
      </w:r>
      <w:r w:rsidRPr="000075D8">
        <w:rPr>
          <w:sz w:val="24"/>
          <w:szCs w:val="24"/>
        </w:rPr>
        <w:br/>
        <w:t>Held (2007): “</w:t>
      </w:r>
      <w:r w:rsidRPr="000075D8">
        <w:rPr>
          <w:sz w:val="24"/>
          <w:szCs w:val="24"/>
        </w:rPr>
        <w:t xml:space="preserve">attending to and fulfilling the needs of specific individuals for whom we assume </w:t>
      </w:r>
      <w:r w:rsidRPr="000075D8">
        <w:rPr>
          <w:sz w:val="24"/>
          <w:szCs w:val="24"/>
        </w:rPr>
        <w:t>responsibility.”</w:t>
      </w:r>
      <w:r w:rsidR="000075D8">
        <w:rPr>
          <w:sz w:val="24"/>
          <w:szCs w:val="24"/>
        </w:rPr>
        <w:br/>
      </w:r>
    </w:p>
    <w:p w14:paraId="08D3D290" w14:textId="051D43E9" w:rsidR="00CB2148" w:rsidRPr="000075D8" w:rsidRDefault="00CB2148" w:rsidP="00CB2148">
      <w:pPr>
        <w:pStyle w:val="ListParagraph"/>
        <w:numPr>
          <w:ilvl w:val="0"/>
          <w:numId w:val="11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>Care encompassing negative and positive attention:</w:t>
      </w:r>
      <w:r w:rsidRPr="000075D8">
        <w:rPr>
          <w:sz w:val="24"/>
          <w:szCs w:val="24"/>
        </w:rPr>
        <w:br/>
        <w:t>(</w:t>
      </w:r>
      <w:proofErr w:type="spellStart"/>
      <w:r w:rsidRPr="000075D8">
        <w:rPr>
          <w:sz w:val="24"/>
          <w:szCs w:val="24"/>
        </w:rPr>
        <w:t>i</w:t>
      </w:r>
      <w:proofErr w:type="spellEnd"/>
      <w:r w:rsidRPr="000075D8">
        <w:rPr>
          <w:sz w:val="24"/>
          <w:szCs w:val="24"/>
        </w:rPr>
        <w:t>) Negative attention: C</w:t>
      </w:r>
      <w:r w:rsidRPr="000075D8">
        <w:rPr>
          <w:sz w:val="24"/>
          <w:szCs w:val="24"/>
        </w:rPr>
        <w:t>essation of activity when the consent-receiver perceives the signs of the consent-giver’s unwillingness</w:t>
      </w:r>
      <w:r w:rsidRPr="000075D8">
        <w:rPr>
          <w:sz w:val="24"/>
          <w:szCs w:val="24"/>
        </w:rPr>
        <w:t>.</w:t>
      </w:r>
      <w:r w:rsidRPr="000075D8">
        <w:rPr>
          <w:sz w:val="24"/>
          <w:szCs w:val="24"/>
        </w:rPr>
        <w:br/>
        <w:t xml:space="preserve">(ii) Positive attention: Understanding of the relevant desires and needs that delineate the scope of consent. </w:t>
      </w:r>
    </w:p>
    <w:p w14:paraId="26B00A0B" w14:textId="098AD495" w:rsidR="00CB2148" w:rsidRPr="000075D8" w:rsidRDefault="00CB2148" w:rsidP="00CB2148">
      <w:pPr>
        <w:pStyle w:val="ListParagraph"/>
        <w:tabs>
          <w:tab w:val="left" w:pos="517"/>
        </w:tabs>
        <w:ind w:left="1440" w:firstLine="0"/>
        <w:rPr>
          <w:sz w:val="24"/>
          <w:szCs w:val="24"/>
        </w:rPr>
      </w:pPr>
      <w:r w:rsidRPr="000075D8">
        <w:rPr>
          <w:sz w:val="24"/>
          <w:szCs w:val="24"/>
        </w:rPr>
        <w:t>Special cases: Sex work, Undesired Consensual Sex (West, 2009</w:t>
      </w:r>
      <w:r w:rsidR="005D2CD1" w:rsidRPr="000075D8">
        <w:rPr>
          <w:sz w:val="24"/>
          <w:szCs w:val="24"/>
        </w:rPr>
        <w:t>, 238).</w:t>
      </w:r>
      <w:r w:rsidR="000075D8">
        <w:rPr>
          <w:sz w:val="24"/>
          <w:szCs w:val="24"/>
        </w:rPr>
        <w:br/>
      </w:r>
    </w:p>
    <w:p w14:paraId="12150397" w14:textId="2E339701" w:rsidR="005D2CD1" w:rsidRPr="000075D8" w:rsidRDefault="000075D8" w:rsidP="005D2CD1">
      <w:pPr>
        <w:pStyle w:val="ListParagraph"/>
        <w:numPr>
          <w:ilvl w:val="0"/>
          <w:numId w:val="13"/>
        </w:numPr>
        <w:tabs>
          <w:tab w:val="left" w:pos="517"/>
        </w:tabs>
        <w:rPr>
          <w:sz w:val="24"/>
          <w:szCs w:val="24"/>
        </w:rPr>
      </w:pPr>
      <w:r>
        <w:rPr>
          <w:sz w:val="24"/>
          <w:szCs w:val="24"/>
        </w:rPr>
        <w:t xml:space="preserve">This conception of </w:t>
      </w:r>
      <w:r w:rsidR="005D2CD1" w:rsidRPr="000075D8">
        <w:rPr>
          <w:sz w:val="24"/>
          <w:szCs w:val="24"/>
        </w:rPr>
        <w:t xml:space="preserve">Care </w:t>
      </w:r>
      <w:r>
        <w:rPr>
          <w:sz w:val="24"/>
          <w:szCs w:val="24"/>
        </w:rPr>
        <w:t xml:space="preserve">is </w:t>
      </w:r>
      <w:r w:rsidR="005D2CD1" w:rsidRPr="000075D8">
        <w:rPr>
          <w:sz w:val="24"/>
          <w:szCs w:val="24"/>
        </w:rPr>
        <w:t xml:space="preserve">grounded in </w:t>
      </w:r>
      <w:r w:rsidRPr="000075D8">
        <w:rPr>
          <w:sz w:val="24"/>
          <w:szCs w:val="24"/>
        </w:rPr>
        <w:t>interconnectedness</w:t>
      </w:r>
      <w:r w:rsidR="005D2CD1" w:rsidRPr="000075D8">
        <w:rPr>
          <w:sz w:val="24"/>
          <w:szCs w:val="24"/>
        </w:rPr>
        <w:t xml:space="preserve"> and interdependence.  In this way, care is mutually present, and all parties must have a sensitivity and disposition to their partner’s agential capacities.</w:t>
      </w:r>
      <w:r>
        <w:rPr>
          <w:sz w:val="24"/>
          <w:szCs w:val="24"/>
        </w:rPr>
        <w:br/>
      </w:r>
    </w:p>
    <w:p w14:paraId="00146C32" w14:textId="5AB7F71E" w:rsidR="005D2CD1" w:rsidRPr="000075D8" w:rsidRDefault="005D2CD1" w:rsidP="005D2CD1">
      <w:pPr>
        <w:pStyle w:val="Heading2"/>
        <w:spacing w:before="133"/>
        <w:rPr>
          <w:rFonts w:ascii="Palatino Linotype" w:hAnsi="Palatino Linotype"/>
          <w:b/>
          <w:bCs/>
          <w:color w:val="auto"/>
          <w:sz w:val="24"/>
          <w:szCs w:val="24"/>
        </w:rPr>
      </w:pPr>
      <w:r w:rsidRPr="000075D8">
        <w:rPr>
          <w:rFonts w:ascii="Palatino Linotype" w:hAnsi="Palatino Linotype"/>
          <w:b/>
          <w:bCs/>
          <w:color w:val="auto"/>
          <w:sz w:val="24"/>
          <w:szCs w:val="24"/>
        </w:rPr>
        <w:t xml:space="preserve">Dynamics </w:t>
      </w:r>
      <w:r w:rsidRPr="000075D8">
        <w:rPr>
          <w:rFonts w:ascii="Palatino Linotype" w:hAnsi="Palatino Linotype"/>
          <w:b/>
          <w:bCs/>
          <w:color w:val="auto"/>
          <w:sz w:val="24"/>
          <w:szCs w:val="24"/>
        </w:rPr>
        <w:t>of Care and Mutual Responsibility</w:t>
      </w:r>
      <w:r w:rsidRPr="000075D8">
        <w:rPr>
          <w:rFonts w:ascii="Palatino Linotype" w:hAnsi="Palatino Linotype"/>
          <w:b/>
          <w:bCs/>
          <w:color w:val="auto"/>
          <w:sz w:val="24"/>
          <w:szCs w:val="24"/>
        </w:rPr>
        <w:t>: Consent as a two-way street</w:t>
      </w:r>
      <w:r w:rsidR="000075D8">
        <w:rPr>
          <w:rFonts w:ascii="Palatino Linotype" w:hAnsi="Palatino Linotype"/>
          <w:b/>
          <w:bCs/>
          <w:color w:val="auto"/>
          <w:sz w:val="24"/>
          <w:szCs w:val="24"/>
        </w:rPr>
        <w:br/>
      </w:r>
    </w:p>
    <w:p w14:paraId="57090654" w14:textId="4FF9F127" w:rsidR="005D2CD1" w:rsidRPr="000075D8" w:rsidRDefault="005D2CD1" w:rsidP="005D2CD1">
      <w:pPr>
        <w:pStyle w:val="ListParagraph"/>
        <w:numPr>
          <w:ilvl w:val="0"/>
          <w:numId w:val="12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>The</w:t>
      </w:r>
      <w:r w:rsidRPr="000075D8">
        <w:rPr>
          <w:sz w:val="24"/>
          <w:szCs w:val="24"/>
        </w:rPr>
        <w:t xml:space="preserve"> consent-giver’s duty: O</w:t>
      </w:r>
      <w:r w:rsidRPr="000075D8">
        <w:rPr>
          <w:sz w:val="24"/>
          <w:szCs w:val="24"/>
        </w:rPr>
        <w:t xml:space="preserve">ne must </w:t>
      </w:r>
      <w:r w:rsidRPr="000075D8">
        <w:rPr>
          <w:sz w:val="24"/>
          <w:szCs w:val="24"/>
        </w:rPr>
        <w:t xml:space="preserve">not give consent without </w:t>
      </w:r>
      <w:r w:rsidRPr="000075D8">
        <w:rPr>
          <w:sz w:val="24"/>
          <w:szCs w:val="24"/>
        </w:rPr>
        <w:t>trust</w:t>
      </w:r>
      <w:r w:rsidRPr="000075D8">
        <w:rPr>
          <w:sz w:val="24"/>
          <w:szCs w:val="24"/>
        </w:rPr>
        <w:t>ing</w:t>
      </w:r>
      <w:r w:rsidRPr="000075D8">
        <w:rPr>
          <w:sz w:val="24"/>
          <w:szCs w:val="24"/>
        </w:rPr>
        <w:t xml:space="preserve"> their partner’s compliance</w:t>
      </w:r>
      <w:r w:rsidRPr="000075D8">
        <w:rPr>
          <w:sz w:val="24"/>
          <w:szCs w:val="24"/>
        </w:rPr>
        <w:t>.</w:t>
      </w:r>
      <w:r w:rsidR="000075D8">
        <w:rPr>
          <w:sz w:val="24"/>
          <w:szCs w:val="24"/>
        </w:rPr>
        <w:br/>
      </w:r>
    </w:p>
    <w:p w14:paraId="0EE05E76" w14:textId="7026D4F7" w:rsidR="005D2CD1" w:rsidRPr="00297D8A" w:rsidRDefault="005D2CD1" w:rsidP="005D2CD1">
      <w:pPr>
        <w:pStyle w:val="ListParagraph"/>
        <w:numPr>
          <w:ilvl w:val="0"/>
          <w:numId w:val="12"/>
        </w:numPr>
        <w:tabs>
          <w:tab w:val="left" w:pos="517"/>
        </w:tabs>
        <w:rPr>
          <w:sz w:val="24"/>
          <w:szCs w:val="24"/>
        </w:rPr>
      </w:pPr>
      <w:r w:rsidRPr="00297D8A">
        <w:rPr>
          <w:sz w:val="24"/>
          <w:szCs w:val="24"/>
        </w:rPr>
        <w:t>The consent-receiver’s duty: D</w:t>
      </w:r>
      <w:r w:rsidRPr="00297D8A">
        <w:rPr>
          <w:sz w:val="24"/>
          <w:szCs w:val="24"/>
        </w:rPr>
        <w:t>emonstrating their trustworthiness</w:t>
      </w:r>
      <w:r w:rsidRPr="00297D8A">
        <w:rPr>
          <w:sz w:val="24"/>
          <w:szCs w:val="24"/>
        </w:rPr>
        <w:t xml:space="preserve"> (in expression of care)</w:t>
      </w:r>
      <w:r w:rsidRPr="00297D8A">
        <w:rPr>
          <w:sz w:val="24"/>
          <w:szCs w:val="24"/>
        </w:rPr>
        <w:t xml:space="preserve"> and </w:t>
      </w:r>
      <w:r w:rsidRPr="00297D8A">
        <w:rPr>
          <w:sz w:val="24"/>
          <w:szCs w:val="24"/>
        </w:rPr>
        <w:t xml:space="preserve">thus, </w:t>
      </w:r>
      <w:r w:rsidRPr="00297D8A">
        <w:rPr>
          <w:sz w:val="24"/>
          <w:szCs w:val="24"/>
        </w:rPr>
        <w:t>warranting trust</w:t>
      </w:r>
      <w:r w:rsidRPr="00297D8A">
        <w:rPr>
          <w:sz w:val="24"/>
          <w:szCs w:val="24"/>
        </w:rPr>
        <w:t>.</w:t>
      </w:r>
    </w:p>
    <w:p w14:paraId="736F62EA" w14:textId="21703E15" w:rsidR="005D2CD1" w:rsidRPr="00E90F1A" w:rsidRDefault="005D2CD1" w:rsidP="005D2CD1">
      <w:pPr>
        <w:pStyle w:val="ListParagraph"/>
        <w:numPr>
          <w:ilvl w:val="0"/>
          <w:numId w:val="1"/>
        </w:numPr>
        <w:jc w:val="center"/>
        <w:rPr>
          <w:bCs/>
          <w:sz w:val="28"/>
          <w:szCs w:val="28"/>
          <w:u w:val="single"/>
        </w:rPr>
      </w:pPr>
      <w:r w:rsidRPr="00E90F1A">
        <w:rPr>
          <w:bCs/>
          <w:i/>
          <w:iCs/>
          <w:sz w:val="28"/>
          <w:szCs w:val="28"/>
          <w:u w:val="single"/>
        </w:rPr>
        <w:lastRenderedPageBreak/>
        <w:t>Objections</w:t>
      </w:r>
    </w:p>
    <w:p w14:paraId="13329842" w14:textId="77777777" w:rsidR="005D2CD1" w:rsidRPr="000075D8" w:rsidRDefault="005D2CD1" w:rsidP="005D2CD1">
      <w:pPr>
        <w:pStyle w:val="BodyText"/>
        <w:spacing w:line="230" w:lineRule="auto"/>
        <w:ind w:left="120"/>
        <w:rPr>
          <w:sz w:val="24"/>
          <w:szCs w:val="24"/>
        </w:rPr>
      </w:pPr>
    </w:p>
    <w:p w14:paraId="559FEDB7" w14:textId="6B0F8DF7" w:rsidR="005D2CD1" w:rsidRPr="000075D8" w:rsidRDefault="005D2CD1" w:rsidP="005D2CD1">
      <w:pPr>
        <w:pStyle w:val="ListParagraph"/>
        <w:numPr>
          <w:ilvl w:val="0"/>
          <w:numId w:val="15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 xml:space="preserve">The idea of </w:t>
      </w:r>
      <w:r w:rsidRPr="000075D8">
        <w:rPr>
          <w:sz w:val="24"/>
          <w:szCs w:val="24"/>
        </w:rPr>
        <w:t>care is incompatible with Hawley’s commitment account of trust</w:t>
      </w:r>
      <w:r w:rsidRPr="000075D8">
        <w:rPr>
          <w:sz w:val="24"/>
          <w:szCs w:val="24"/>
        </w:rPr>
        <w:t>.</w:t>
      </w:r>
      <w:r w:rsidR="000075D8">
        <w:rPr>
          <w:sz w:val="24"/>
          <w:szCs w:val="24"/>
        </w:rPr>
        <w:br/>
        <w:t xml:space="preserve">- Response: </w:t>
      </w:r>
      <w:r w:rsidR="00E90F1A">
        <w:rPr>
          <w:sz w:val="24"/>
          <w:szCs w:val="24"/>
        </w:rPr>
        <w:t>A</w:t>
      </w:r>
      <w:r w:rsidR="000075D8" w:rsidRPr="000075D8">
        <w:rPr>
          <w:sz w:val="24"/>
          <w:szCs w:val="24"/>
        </w:rPr>
        <w:t xml:space="preserve">ssessment of </w:t>
      </w:r>
      <w:proofErr w:type="gramStart"/>
      <w:r w:rsidR="000075D8" w:rsidRPr="000075D8">
        <w:rPr>
          <w:sz w:val="24"/>
          <w:szCs w:val="24"/>
        </w:rPr>
        <w:t>one’s will is</w:t>
      </w:r>
      <w:proofErr w:type="gramEnd"/>
      <w:r w:rsidR="000075D8" w:rsidRPr="000075D8">
        <w:rPr>
          <w:sz w:val="24"/>
          <w:szCs w:val="24"/>
        </w:rPr>
        <w:t xml:space="preserve"> often possible only under moral or emotional motivations towards the partner (or to people in general), but those are only contingent.</w:t>
      </w:r>
      <w:r w:rsidR="000075D8">
        <w:rPr>
          <w:sz w:val="24"/>
          <w:szCs w:val="24"/>
        </w:rPr>
        <w:t xml:space="preserve"> See Tony &amp; Karin’s case.</w:t>
      </w:r>
    </w:p>
    <w:p w14:paraId="0EA832A9" w14:textId="408C0C32" w:rsidR="005D2CD1" w:rsidRPr="000075D8" w:rsidRDefault="005D2CD1" w:rsidP="005D2CD1">
      <w:pPr>
        <w:pStyle w:val="ListParagraph"/>
        <w:numPr>
          <w:ilvl w:val="0"/>
          <w:numId w:val="15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 xml:space="preserve">The framework proposed </w:t>
      </w:r>
      <w:r w:rsidRPr="000075D8">
        <w:rPr>
          <w:sz w:val="24"/>
          <w:szCs w:val="24"/>
        </w:rPr>
        <w:t>places an overly paternalistic demand on sexual consent and jeopardizes sexual agency</w:t>
      </w:r>
      <w:r w:rsidRPr="000075D8">
        <w:rPr>
          <w:sz w:val="24"/>
          <w:szCs w:val="24"/>
        </w:rPr>
        <w:t>.</w:t>
      </w:r>
      <w:r w:rsidR="000075D8">
        <w:rPr>
          <w:sz w:val="24"/>
          <w:szCs w:val="24"/>
        </w:rPr>
        <w:br/>
        <w:t>- Response: Interdependence entails symmetry, by two asymmetrical relations of care happening simultaneously in sexual acts.</w:t>
      </w:r>
    </w:p>
    <w:p w14:paraId="5E4186A9" w14:textId="4779063F" w:rsidR="005D2CD1" w:rsidRDefault="005D2CD1" w:rsidP="005D2CD1">
      <w:pPr>
        <w:pStyle w:val="ListParagraph"/>
        <w:numPr>
          <w:ilvl w:val="0"/>
          <w:numId w:val="15"/>
        </w:numPr>
        <w:tabs>
          <w:tab w:val="left" w:pos="517"/>
        </w:tabs>
        <w:rPr>
          <w:sz w:val="24"/>
          <w:szCs w:val="24"/>
        </w:rPr>
      </w:pPr>
      <w:r w:rsidRPr="000075D8">
        <w:rPr>
          <w:sz w:val="24"/>
          <w:szCs w:val="24"/>
        </w:rPr>
        <w:t>It</w:t>
      </w:r>
      <w:r w:rsidRPr="000075D8">
        <w:rPr>
          <w:sz w:val="24"/>
          <w:szCs w:val="24"/>
        </w:rPr>
        <w:t xml:space="preserve"> sets the bar too high for valid consent, potentially labelling casual sex as non-consensual, or merely faulty sexual interactions as rape.</w:t>
      </w:r>
      <w:r w:rsidR="000075D8">
        <w:rPr>
          <w:sz w:val="24"/>
          <w:szCs w:val="24"/>
        </w:rPr>
        <w:br/>
        <w:t>- Response: The bar moves depending</w:t>
      </w:r>
      <w:r w:rsidR="000075D8" w:rsidRPr="000075D8">
        <w:rPr>
          <w:sz w:val="24"/>
          <w:szCs w:val="24"/>
        </w:rPr>
        <w:t xml:space="preserve"> on the dynamics we have with our partners and different pragmatic considerations, as well as our confidence in our ability to enforce consent.</w:t>
      </w:r>
      <w:r w:rsidR="000075D8">
        <w:rPr>
          <w:sz w:val="24"/>
          <w:szCs w:val="24"/>
        </w:rPr>
        <w:t xml:space="preserve"> Furthermore, this is not a dichotomic system, and there might be different degrees of violating </w:t>
      </w:r>
      <w:r w:rsidR="000075D8" w:rsidRPr="000075D8">
        <w:rPr>
          <w:i/>
          <w:iCs/>
          <w:sz w:val="24"/>
          <w:szCs w:val="24"/>
        </w:rPr>
        <w:t>TC</w:t>
      </w:r>
      <w:r w:rsidR="000075D8">
        <w:rPr>
          <w:sz w:val="24"/>
          <w:szCs w:val="24"/>
        </w:rPr>
        <w:t>, not all of them constituting rape all the way down.</w:t>
      </w:r>
    </w:p>
    <w:p w14:paraId="5238A535" w14:textId="77777777" w:rsidR="000075D8" w:rsidRDefault="000075D8" w:rsidP="000075D8">
      <w:pPr>
        <w:tabs>
          <w:tab w:val="left" w:pos="517"/>
        </w:tabs>
        <w:rPr>
          <w:sz w:val="24"/>
          <w:szCs w:val="24"/>
        </w:rPr>
      </w:pPr>
    </w:p>
    <w:p w14:paraId="4B783FA1" w14:textId="77777777" w:rsidR="000075D8" w:rsidRDefault="000075D8" w:rsidP="000075D8">
      <w:pPr>
        <w:tabs>
          <w:tab w:val="left" w:pos="517"/>
        </w:tabs>
        <w:rPr>
          <w:sz w:val="24"/>
          <w:szCs w:val="24"/>
        </w:rPr>
      </w:pPr>
    </w:p>
    <w:p w14:paraId="3086FF56" w14:textId="2D6F65DB" w:rsidR="000075D8" w:rsidRPr="00E90F1A" w:rsidRDefault="00297D8A" w:rsidP="000075D8">
      <w:pPr>
        <w:pStyle w:val="ListParagraph"/>
        <w:ind w:left="839" w:firstLine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Works Cited</w:t>
      </w:r>
    </w:p>
    <w:p w14:paraId="45FE5BA9" w14:textId="77777777" w:rsidR="000075D8" w:rsidRPr="00297D8A" w:rsidRDefault="000075D8" w:rsidP="000075D8">
      <w:pPr>
        <w:pStyle w:val="BodyText"/>
        <w:spacing w:line="230" w:lineRule="auto"/>
        <w:ind w:left="120"/>
        <w:rPr>
          <w:sz w:val="24"/>
          <w:szCs w:val="24"/>
        </w:rPr>
      </w:pPr>
    </w:p>
    <w:p w14:paraId="69825F92" w14:textId="54082C23" w:rsidR="007F7E25" w:rsidRPr="00297D8A" w:rsidRDefault="007F7E25" w:rsidP="007F7E25">
      <w:pPr>
        <w:pStyle w:val="ListParagraph"/>
        <w:numPr>
          <w:ilvl w:val="0"/>
          <w:numId w:val="17"/>
        </w:numPr>
        <w:tabs>
          <w:tab w:val="left" w:pos="517"/>
        </w:tabs>
        <w:rPr>
          <w:sz w:val="24"/>
          <w:szCs w:val="24"/>
        </w:rPr>
      </w:pPr>
      <w:proofErr w:type="spellStart"/>
      <w:r w:rsidRPr="00297D8A">
        <w:rPr>
          <w:sz w:val="24"/>
          <w:szCs w:val="24"/>
        </w:rPr>
        <w:t>Gheaus</w:t>
      </w:r>
      <w:proofErr w:type="spellEnd"/>
      <w:r w:rsidRPr="00297D8A">
        <w:rPr>
          <w:sz w:val="24"/>
          <w:szCs w:val="24"/>
        </w:rPr>
        <w:t>, Anca. 2022. “Personal Relationship Goods.” In The Stanford Encyclopedia of Philosophy, edited by Edward N. Zalta and Uri Nodelman, Winter 2022. Metaphysics Research Lab, Stanford University. https://plato.stanford.edu/archives/win2022/entries/personal-relationship-goods/.</w:t>
      </w:r>
    </w:p>
    <w:p w14:paraId="3A4200A5" w14:textId="2E0AA5AB" w:rsidR="000075D8" w:rsidRPr="00297D8A" w:rsidRDefault="000075D8" w:rsidP="007F7E25">
      <w:pPr>
        <w:pStyle w:val="ListParagraph"/>
        <w:numPr>
          <w:ilvl w:val="0"/>
          <w:numId w:val="17"/>
        </w:numPr>
        <w:tabs>
          <w:tab w:val="left" w:pos="517"/>
        </w:tabs>
        <w:rPr>
          <w:sz w:val="24"/>
          <w:szCs w:val="24"/>
          <w:lang w:val="fr-FR"/>
        </w:rPr>
      </w:pPr>
      <w:r w:rsidRPr="00297D8A">
        <w:rPr>
          <w:sz w:val="24"/>
          <w:szCs w:val="24"/>
        </w:rPr>
        <w:t xml:space="preserve">Hawley, Katherine. 2014. “Trust, Distrust and Commitment.” </w:t>
      </w:r>
      <w:proofErr w:type="spellStart"/>
      <w:r w:rsidRPr="00297D8A">
        <w:rPr>
          <w:sz w:val="24"/>
          <w:szCs w:val="24"/>
          <w:lang w:val="fr-FR"/>
        </w:rPr>
        <w:t>Noûs</w:t>
      </w:r>
      <w:proofErr w:type="spellEnd"/>
      <w:r w:rsidRPr="00297D8A">
        <w:rPr>
          <w:sz w:val="24"/>
          <w:szCs w:val="24"/>
          <w:lang w:val="fr-FR"/>
        </w:rPr>
        <w:t xml:space="preserve"> 48 (1</w:t>
      </w:r>
      <w:proofErr w:type="gramStart"/>
      <w:r w:rsidRPr="00297D8A">
        <w:rPr>
          <w:sz w:val="24"/>
          <w:szCs w:val="24"/>
          <w:lang w:val="fr-FR"/>
        </w:rPr>
        <w:t>):</w:t>
      </w:r>
      <w:proofErr w:type="gramEnd"/>
      <w:r w:rsidRPr="00297D8A">
        <w:rPr>
          <w:sz w:val="24"/>
          <w:szCs w:val="24"/>
          <w:lang w:val="fr-FR"/>
        </w:rPr>
        <w:t xml:space="preserve"> 1–20. https://doi.org/10.1111/nous.12000.</w:t>
      </w:r>
    </w:p>
    <w:p w14:paraId="00149439" w14:textId="111F8805" w:rsidR="000075D8" w:rsidRPr="00297D8A" w:rsidRDefault="000075D8" w:rsidP="007F7E25">
      <w:pPr>
        <w:pStyle w:val="ListParagraph"/>
        <w:numPr>
          <w:ilvl w:val="0"/>
          <w:numId w:val="17"/>
        </w:numPr>
        <w:tabs>
          <w:tab w:val="left" w:pos="517"/>
        </w:tabs>
        <w:rPr>
          <w:sz w:val="24"/>
          <w:szCs w:val="24"/>
        </w:rPr>
      </w:pPr>
      <w:r w:rsidRPr="00297D8A">
        <w:rPr>
          <w:sz w:val="24"/>
          <w:szCs w:val="24"/>
        </w:rPr>
        <w:t xml:space="preserve">———. 2019. How </w:t>
      </w:r>
      <w:proofErr w:type="gramStart"/>
      <w:r w:rsidRPr="00297D8A">
        <w:rPr>
          <w:sz w:val="24"/>
          <w:szCs w:val="24"/>
        </w:rPr>
        <w:t>To</w:t>
      </w:r>
      <w:proofErr w:type="gramEnd"/>
      <w:r w:rsidRPr="00297D8A">
        <w:rPr>
          <w:sz w:val="24"/>
          <w:szCs w:val="24"/>
        </w:rPr>
        <w:t xml:space="preserve"> Be Trustworthy. Oxford; New York, NY: Oxford University Press.</w:t>
      </w:r>
    </w:p>
    <w:p w14:paraId="6B95B2C0" w14:textId="0E16CCCB" w:rsidR="007F7E25" w:rsidRPr="00297D8A" w:rsidRDefault="007F7E25" w:rsidP="007F7E25">
      <w:pPr>
        <w:pStyle w:val="ListParagraph"/>
        <w:numPr>
          <w:ilvl w:val="0"/>
          <w:numId w:val="17"/>
        </w:numPr>
        <w:tabs>
          <w:tab w:val="left" w:pos="517"/>
        </w:tabs>
        <w:rPr>
          <w:sz w:val="24"/>
          <w:szCs w:val="24"/>
        </w:rPr>
      </w:pPr>
      <w:r w:rsidRPr="00297D8A">
        <w:rPr>
          <w:sz w:val="24"/>
          <w:szCs w:val="24"/>
        </w:rPr>
        <w:t>Held, Virginia. 2007. The Ethics of Care: Personal, Political, and Global. Oxford: Oxford University Press.</w:t>
      </w:r>
    </w:p>
    <w:p w14:paraId="364F7752" w14:textId="18E7BD02" w:rsidR="00297D8A" w:rsidRPr="00297D8A" w:rsidRDefault="00297D8A" w:rsidP="007F7E25">
      <w:pPr>
        <w:pStyle w:val="ListParagraph"/>
        <w:numPr>
          <w:ilvl w:val="0"/>
          <w:numId w:val="17"/>
        </w:numPr>
        <w:tabs>
          <w:tab w:val="left" w:pos="517"/>
        </w:tabs>
        <w:rPr>
          <w:sz w:val="24"/>
          <w:szCs w:val="24"/>
        </w:rPr>
      </w:pPr>
      <w:r w:rsidRPr="00297D8A">
        <w:rPr>
          <w:sz w:val="24"/>
          <w:szCs w:val="24"/>
        </w:rPr>
        <w:t xml:space="preserve">Marušić, Berislav. 2017. “Trust, Reliance and the Participant Stance.” Philosopher’s Imprint 17 (17). </w:t>
      </w:r>
      <w:hyperlink r:id="rId9" w:history="1">
        <w:r w:rsidRPr="00297D8A">
          <w:rPr>
            <w:rStyle w:val="Hyperlink"/>
            <w:color w:val="auto"/>
            <w:sz w:val="24"/>
            <w:szCs w:val="24"/>
            <w:u w:val="none"/>
          </w:rPr>
          <w:t>http://hdl.handle.net/2027/spo.3521354.0017.017</w:t>
        </w:r>
      </w:hyperlink>
      <w:r w:rsidRPr="00297D8A">
        <w:rPr>
          <w:sz w:val="24"/>
          <w:szCs w:val="24"/>
        </w:rPr>
        <w:t>.</w:t>
      </w:r>
    </w:p>
    <w:p w14:paraId="586B93AA" w14:textId="5CA8AE13" w:rsidR="00297D8A" w:rsidRPr="00297D8A" w:rsidRDefault="00297D8A" w:rsidP="007F7E25">
      <w:pPr>
        <w:pStyle w:val="ListParagraph"/>
        <w:numPr>
          <w:ilvl w:val="0"/>
          <w:numId w:val="17"/>
        </w:numPr>
        <w:tabs>
          <w:tab w:val="left" w:pos="517"/>
        </w:tabs>
        <w:rPr>
          <w:sz w:val="24"/>
          <w:szCs w:val="24"/>
        </w:rPr>
      </w:pPr>
      <w:r w:rsidRPr="00297D8A">
        <w:rPr>
          <w:sz w:val="24"/>
          <w:szCs w:val="24"/>
        </w:rPr>
        <w:t>McLeod, Carolyn. 2021. “Trust.” In The Stanford Encyclopedia of Philosophy, edited by Edward N. Zalta, Fall 2021. Metaphysics Research Lab, Stanford University. https://plato.stanford.edu/archives/fall2021/entriesrust/.</w:t>
      </w:r>
    </w:p>
    <w:p w14:paraId="3930C0D2" w14:textId="6BAB5FA7" w:rsidR="00E90F1A" w:rsidRDefault="00E90F1A" w:rsidP="007F7E25">
      <w:pPr>
        <w:pStyle w:val="ListParagraph"/>
        <w:numPr>
          <w:ilvl w:val="0"/>
          <w:numId w:val="17"/>
        </w:numPr>
        <w:tabs>
          <w:tab w:val="left" w:pos="517"/>
        </w:tabs>
        <w:rPr>
          <w:sz w:val="24"/>
          <w:szCs w:val="24"/>
        </w:rPr>
      </w:pPr>
      <w:r w:rsidRPr="00297D8A">
        <w:rPr>
          <w:sz w:val="24"/>
          <w:szCs w:val="24"/>
        </w:rPr>
        <w:t xml:space="preserve">West, Robin. 2009. “Sex, Law, and Consent.” In The Ethics of Consent, edited by Franklin Miller and Alan Wertheimer, 1st ed., 221–50. New York: Oxford University Press. </w:t>
      </w:r>
      <w:hyperlink r:id="rId10" w:history="1">
        <w:r w:rsidR="00297D8A" w:rsidRPr="00152D55">
          <w:rPr>
            <w:rStyle w:val="Hyperlink"/>
            <w:sz w:val="24"/>
            <w:szCs w:val="24"/>
          </w:rPr>
          <w:t>https://doi.org/10.1093/acprof:oso/9780195335149.003.0009</w:t>
        </w:r>
      </w:hyperlink>
      <w:r w:rsidRPr="00E90F1A">
        <w:rPr>
          <w:sz w:val="24"/>
          <w:szCs w:val="24"/>
        </w:rPr>
        <w:t>.</w:t>
      </w:r>
    </w:p>
    <w:p w14:paraId="15BFE0DD" w14:textId="77777777" w:rsidR="00297D8A" w:rsidRDefault="00297D8A" w:rsidP="00297D8A">
      <w:pPr>
        <w:tabs>
          <w:tab w:val="left" w:pos="517"/>
        </w:tabs>
        <w:rPr>
          <w:sz w:val="24"/>
          <w:szCs w:val="24"/>
        </w:rPr>
      </w:pPr>
    </w:p>
    <w:p w14:paraId="282B00D4" w14:textId="77777777" w:rsidR="00297D8A" w:rsidRDefault="00297D8A" w:rsidP="00297D8A">
      <w:pPr>
        <w:tabs>
          <w:tab w:val="left" w:pos="517"/>
        </w:tabs>
        <w:rPr>
          <w:sz w:val="24"/>
          <w:szCs w:val="24"/>
        </w:rPr>
      </w:pPr>
    </w:p>
    <w:p w14:paraId="60DF5D25" w14:textId="77777777" w:rsidR="00297D8A" w:rsidRDefault="00297D8A" w:rsidP="00297D8A">
      <w:pPr>
        <w:tabs>
          <w:tab w:val="left" w:pos="517"/>
        </w:tabs>
        <w:rPr>
          <w:sz w:val="24"/>
          <w:szCs w:val="24"/>
        </w:rPr>
      </w:pPr>
    </w:p>
    <w:p w14:paraId="08DB2EA8" w14:textId="3FD79522" w:rsidR="00297D8A" w:rsidRPr="00297D8A" w:rsidRDefault="00297D8A" w:rsidP="00297D8A">
      <w:pPr>
        <w:tabs>
          <w:tab w:val="left" w:pos="517"/>
        </w:tabs>
        <w:rPr>
          <w:b/>
          <w:bCs/>
          <w:sz w:val="24"/>
          <w:szCs w:val="24"/>
        </w:rPr>
      </w:pPr>
      <w:r w:rsidRPr="00297D8A">
        <w:rPr>
          <w:b/>
          <w:bCs/>
          <w:sz w:val="24"/>
          <w:szCs w:val="24"/>
        </w:rPr>
        <w:t>Thank you!</w:t>
      </w:r>
    </w:p>
    <w:p w14:paraId="58C54703" w14:textId="77777777" w:rsidR="00297D8A" w:rsidRDefault="00297D8A" w:rsidP="00297D8A">
      <w:pPr>
        <w:tabs>
          <w:tab w:val="left" w:pos="517"/>
        </w:tabs>
        <w:rPr>
          <w:sz w:val="24"/>
          <w:szCs w:val="24"/>
        </w:rPr>
      </w:pPr>
    </w:p>
    <w:p w14:paraId="0EAD51C5" w14:textId="2A26A871" w:rsidR="00297D8A" w:rsidRPr="00297D8A" w:rsidRDefault="00297D8A" w:rsidP="00297D8A">
      <w:pPr>
        <w:tabs>
          <w:tab w:val="left" w:pos="517"/>
        </w:tabs>
        <w:rPr>
          <w:sz w:val="24"/>
          <w:szCs w:val="24"/>
        </w:rPr>
      </w:pPr>
      <w:r>
        <w:rPr>
          <w:sz w:val="24"/>
          <w:szCs w:val="24"/>
        </w:rPr>
        <w:t>E</w:t>
      </w:r>
    </w:p>
    <w:sectPr w:rsidR="00297D8A" w:rsidRPr="00297D8A" w:rsidSect="008F0E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697E" w14:textId="77777777" w:rsidR="008F0EA5" w:rsidRDefault="008F0EA5" w:rsidP="00F9297B">
      <w:r>
        <w:separator/>
      </w:r>
    </w:p>
  </w:endnote>
  <w:endnote w:type="continuationSeparator" w:id="0">
    <w:p w14:paraId="7747F4E1" w14:textId="77777777" w:rsidR="008F0EA5" w:rsidRDefault="008F0EA5" w:rsidP="00F9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6FF5" w14:textId="77777777" w:rsidR="00CE45AF" w:rsidRDefault="00CE4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279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16E04" w14:textId="061E288A" w:rsidR="00F9297B" w:rsidRDefault="00F929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AD6F0" w14:textId="77777777" w:rsidR="00F9297B" w:rsidRDefault="00F92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1F02" w14:textId="77777777" w:rsidR="00CE45AF" w:rsidRDefault="00CE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783F" w14:textId="77777777" w:rsidR="008F0EA5" w:rsidRDefault="008F0EA5" w:rsidP="00F9297B">
      <w:r>
        <w:separator/>
      </w:r>
    </w:p>
  </w:footnote>
  <w:footnote w:type="continuationSeparator" w:id="0">
    <w:p w14:paraId="365EA634" w14:textId="77777777" w:rsidR="008F0EA5" w:rsidRDefault="008F0EA5" w:rsidP="00F9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33F2" w14:textId="77777777" w:rsidR="00CE45AF" w:rsidRDefault="00CE4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777E" w14:textId="525CF853" w:rsidR="00F9297B" w:rsidRDefault="00F9297B">
    <w:pPr>
      <w:pStyle w:val="Header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0ED42C1" wp14:editId="1329AFF5">
              <wp:simplePos x="0" y="0"/>
              <wp:positionH relativeFrom="margin">
                <wp:align>left</wp:align>
              </wp:positionH>
              <wp:positionV relativeFrom="page">
                <wp:posOffset>457200</wp:posOffset>
              </wp:positionV>
              <wp:extent cx="4495800" cy="2362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0D7CD1" w14:textId="77E04778" w:rsidR="00F9297B" w:rsidRDefault="00F9297B" w:rsidP="00F9297B">
                          <w:pPr>
                            <w:spacing w:line="267" w:lineRule="exact"/>
                            <w:ind w:left="20"/>
                            <w:rPr>
                              <w:rFonts w:ascii="Palatino Linotype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42C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0;margin-top:36pt;width:354pt;height:18.6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" filled="f" stroked="f">
              <v:textbox inset="0,0,0,0">
                <w:txbxContent>
                  <w:p w14:paraId="460D7CD1" w14:textId="77E04778" w:rsidR="00F9297B" w:rsidRDefault="00F9297B" w:rsidP="00F9297B">
                    <w:pPr>
                      <w:spacing w:line="267" w:lineRule="exact"/>
                      <w:ind w:left="20"/>
                      <w:rPr>
                        <w:rFonts w:ascii="Palatino Linotype"/>
                        <w:i/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4958AA2" wp14:editId="3B6D7C72">
              <wp:simplePos x="0" y="0"/>
              <wp:positionH relativeFrom="page">
                <wp:posOffset>5897880</wp:posOffset>
              </wp:positionH>
              <wp:positionV relativeFrom="page">
                <wp:posOffset>464820</wp:posOffset>
              </wp:positionV>
              <wp:extent cx="951230" cy="1809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23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CE5F0F" w14:textId="77777777" w:rsidR="00F9297B" w:rsidRDefault="00F9297B" w:rsidP="00F9297B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t>February 9,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958AA2" id="Textbox 3" o:spid="_x0000_s1028" type="#_x0000_t202" style="position:absolute;margin-left:464.4pt;margin-top:36.6pt;width:74.9pt;height:14.2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" filled="f" stroked="f">
              <v:textbox inset="0,0,0,0">
                <w:txbxContent>
                  <w:p w14:paraId="73CE5F0F" w14:textId="77777777" w:rsidR="00F9297B" w:rsidRDefault="00F9297B" w:rsidP="00F9297B">
                    <w:pPr>
                      <w:pStyle w:val="BodyText"/>
                      <w:spacing w:before="18"/>
                      <w:ind w:left="20"/>
                    </w:pPr>
                    <w:r>
                      <w:t>February 9,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rPr>
                        <w:spacing w:val="-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0AC48C" w14:textId="77777777" w:rsidR="00F9297B" w:rsidRDefault="00F92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B293" w14:textId="77777777" w:rsidR="00CE45AF" w:rsidRDefault="00CE4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908"/>
    <w:multiLevelType w:val="hybridMultilevel"/>
    <w:tmpl w:val="FA6A675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42B0746"/>
    <w:multiLevelType w:val="multilevel"/>
    <w:tmpl w:val="6BF659E8"/>
    <w:lvl w:ilvl="0">
      <w:start w:val="1"/>
      <w:numFmt w:val="decimal"/>
      <w:lvlText w:val="%1"/>
      <w:lvlJc w:val="left"/>
      <w:pPr>
        <w:ind w:left="512" w:hanging="359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8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-481" w:hanging="449"/>
        <w:jc w:val="right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510" w:hanging="4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1" w:hanging="4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-368" w:hanging="4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-807" w:hanging="4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-1246" w:hanging="4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1684" w:hanging="4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2123" w:hanging="449"/>
      </w:pPr>
      <w:rPr>
        <w:rFonts w:hint="default"/>
        <w:lang w:val="en-US" w:eastAsia="en-US" w:bidi="ar-SA"/>
      </w:rPr>
    </w:lvl>
  </w:abstractNum>
  <w:abstractNum w:abstractNumId="2" w15:restartNumberingAfterBreak="0">
    <w:nsid w:val="0D2F72B9"/>
    <w:multiLevelType w:val="hybridMultilevel"/>
    <w:tmpl w:val="8788FEB2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4566929"/>
    <w:multiLevelType w:val="hybridMultilevel"/>
    <w:tmpl w:val="1CA449E8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16874"/>
    <w:multiLevelType w:val="hybridMultilevel"/>
    <w:tmpl w:val="C908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7C20"/>
    <w:multiLevelType w:val="hybridMultilevel"/>
    <w:tmpl w:val="8788FEB2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212E19A5"/>
    <w:multiLevelType w:val="hybridMultilevel"/>
    <w:tmpl w:val="F18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04D7"/>
    <w:multiLevelType w:val="hybridMultilevel"/>
    <w:tmpl w:val="7012F3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20557"/>
    <w:multiLevelType w:val="hybridMultilevel"/>
    <w:tmpl w:val="0700E608"/>
    <w:lvl w:ilvl="0" w:tplc="721AF3EC">
      <w:numFmt w:val="bullet"/>
      <w:lvlText w:val="•"/>
      <w:lvlJc w:val="left"/>
      <w:pPr>
        <w:ind w:left="518" w:hanging="22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36"/>
        <w:sz w:val="20"/>
        <w:szCs w:val="20"/>
        <w:lang w:val="en-US" w:eastAsia="en-US" w:bidi="ar-SA"/>
      </w:rPr>
    </w:lvl>
    <w:lvl w:ilvl="1" w:tplc="689A3D28">
      <w:numFmt w:val="bullet"/>
      <w:lvlText w:val="•"/>
      <w:lvlJc w:val="left"/>
      <w:pPr>
        <w:ind w:left="1061" w:hanging="221"/>
      </w:pPr>
      <w:rPr>
        <w:rFonts w:hint="default"/>
        <w:lang w:val="en-US" w:eastAsia="en-US" w:bidi="ar-SA"/>
      </w:rPr>
    </w:lvl>
    <w:lvl w:ilvl="2" w:tplc="7910006E">
      <w:numFmt w:val="bullet"/>
      <w:lvlText w:val="•"/>
      <w:lvlJc w:val="left"/>
      <w:pPr>
        <w:ind w:left="1602" w:hanging="221"/>
      </w:pPr>
      <w:rPr>
        <w:rFonts w:hint="default"/>
        <w:lang w:val="en-US" w:eastAsia="en-US" w:bidi="ar-SA"/>
      </w:rPr>
    </w:lvl>
    <w:lvl w:ilvl="3" w:tplc="C5FAB56A">
      <w:numFmt w:val="bullet"/>
      <w:lvlText w:val="•"/>
      <w:lvlJc w:val="left"/>
      <w:pPr>
        <w:ind w:left="2144" w:hanging="221"/>
      </w:pPr>
      <w:rPr>
        <w:rFonts w:hint="default"/>
        <w:lang w:val="en-US" w:eastAsia="en-US" w:bidi="ar-SA"/>
      </w:rPr>
    </w:lvl>
    <w:lvl w:ilvl="4" w:tplc="389043C2">
      <w:numFmt w:val="bullet"/>
      <w:lvlText w:val="•"/>
      <w:lvlJc w:val="left"/>
      <w:pPr>
        <w:ind w:left="2685" w:hanging="221"/>
      </w:pPr>
      <w:rPr>
        <w:rFonts w:hint="default"/>
        <w:lang w:val="en-US" w:eastAsia="en-US" w:bidi="ar-SA"/>
      </w:rPr>
    </w:lvl>
    <w:lvl w:ilvl="5" w:tplc="D8642052">
      <w:numFmt w:val="bullet"/>
      <w:lvlText w:val="•"/>
      <w:lvlJc w:val="left"/>
      <w:pPr>
        <w:ind w:left="3227" w:hanging="221"/>
      </w:pPr>
      <w:rPr>
        <w:rFonts w:hint="default"/>
        <w:lang w:val="en-US" w:eastAsia="en-US" w:bidi="ar-SA"/>
      </w:rPr>
    </w:lvl>
    <w:lvl w:ilvl="6" w:tplc="64C44C9A">
      <w:numFmt w:val="bullet"/>
      <w:lvlText w:val="•"/>
      <w:lvlJc w:val="left"/>
      <w:pPr>
        <w:ind w:left="3768" w:hanging="221"/>
      </w:pPr>
      <w:rPr>
        <w:rFonts w:hint="default"/>
        <w:lang w:val="en-US" w:eastAsia="en-US" w:bidi="ar-SA"/>
      </w:rPr>
    </w:lvl>
    <w:lvl w:ilvl="7" w:tplc="3318AA86">
      <w:numFmt w:val="bullet"/>
      <w:lvlText w:val="•"/>
      <w:lvlJc w:val="left"/>
      <w:pPr>
        <w:ind w:left="4310" w:hanging="221"/>
      </w:pPr>
      <w:rPr>
        <w:rFonts w:hint="default"/>
        <w:lang w:val="en-US" w:eastAsia="en-US" w:bidi="ar-SA"/>
      </w:rPr>
    </w:lvl>
    <w:lvl w:ilvl="8" w:tplc="41D60F46">
      <w:numFmt w:val="bullet"/>
      <w:lvlText w:val="•"/>
      <w:lvlJc w:val="left"/>
      <w:pPr>
        <w:ind w:left="4851" w:hanging="221"/>
      </w:pPr>
      <w:rPr>
        <w:rFonts w:hint="default"/>
        <w:lang w:val="en-US" w:eastAsia="en-US" w:bidi="ar-SA"/>
      </w:rPr>
    </w:lvl>
  </w:abstractNum>
  <w:abstractNum w:abstractNumId="9" w15:restartNumberingAfterBreak="0">
    <w:nsid w:val="355D79ED"/>
    <w:multiLevelType w:val="hybridMultilevel"/>
    <w:tmpl w:val="8788FEB2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3B086496"/>
    <w:multiLevelType w:val="hybridMultilevel"/>
    <w:tmpl w:val="306A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E8D"/>
    <w:multiLevelType w:val="hybridMultilevel"/>
    <w:tmpl w:val="639A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F3926"/>
    <w:multiLevelType w:val="hybridMultilevel"/>
    <w:tmpl w:val="4518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4579"/>
    <w:multiLevelType w:val="hybridMultilevel"/>
    <w:tmpl w:val="8B105DCA"/>
    <w:lvl w:ilvl="0" w:tplc="B6FC82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57162"/>
    <w:multiLevelType w:val="hybridMultilevel"/>
    <w:tmpl w:val="8788FEB2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67A312EA"/>
    <w:multiLevelType w:val="hybridMultilevel"/>
    <w:tmpl w:val="8788FEB2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6C0F5B28"/>
    <w:multiLevelType w:val="hybridMultilevel"/>
    <w:tmpl w:val="654A23E2"/>
    <w:lvl w:ilvl="0" w:tplc="6FEC548E">
      <w:start w:val="1"/>
      <w:numFmt w:val="lowerLetter"/>
      <w:lvlText w:val="%1)"/>
      <w:lvlJc w:val="left"/>
      <w:pPr>
        <w:ind w:left="480" w:hanging="360"/>
      </w:pPr>
      <w:rPr>
        <w:rFonts w:ascii="Cambr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86504C5"/>
    <w:multiLevelType w:val="hybridMultilevel"/>
    <w:tmpl w:val="445C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11541">
    <w:abstractNumId w:val="9"/>
  </w:num>
  <w:num w:numId="2" w16cid:durableId="1852378934">
    <w:abstractNumId w:val="1"/>
  </w:num>
  <w:num w:numId="3" w16cid:durableId="634603555">
    <w:abstractNumId w:val="5"/>
  </w:num>
  <w:num w:numId="4" w16cid:durableId="1004435034">
    <w:abstractNumId w:val="16"/>
  </w:num>
  <w:num w:numId="5" w16cid:durableId="1804881346">
    <w:abstractNumId w:val="13"/>
  </w:num>
  <w:num w:numId="6" w16cid:durableId="1409614668">
    <w:abstractNumId w:val="7"/>
  </w:num>
  <w:num w:numId="7" w16cid:durableId="539827328">
    <w:abstractNumId w:val="8"/>
  </w:num>
  <w:num w:numId="8" w16cid:durableId="502666547">
    <w:abstractNumId w:val="17"/>
  </w:num>
  <w:num w:numId="9" w16cid:durableId="1806118052">
    <w:abstractNumId w:val="11"/>
  </w:num>
  <w:num w:numId="10" w16cid:durableId="1645507804">
    <w:abstractNumId w:val="2"/>
  </w:num>
  <w:num w:numId="11" w16cid:durableId="2060087003">
    <w:abstractNumId w:val="4"/>
  </w:num>
  <w:num w:numId="12" w16cid:durableId="1040783355">
    <w:abstractNumId w:val="6"/>
  </w:num>
  <w:num w:numId="13" w16cid:durableId="1250694830">
    <w:abstractNumId w:val="10"/>
  </w:num>
  <w:num w:numId="14" w16cid:durableId="1292441132">
    <w:abstractNumId w:val="15"/>
  </w:num>
  <w:num w:numId="15" w16cid:durableId="892813017">
    <w:abstractNumId w:val="12"/>
  </w:num>
  <w:num w:numId="16" w16cid:durableId="512108987">
    <w:abstractNumId w:val="14"/>
  </w:num>
  <w:num w:numId="17" w16cid:durableId="9138540">
    <w:abstractNumId w:val="3"/>
  </w:num>
  <w:num w:numId="18" w16cid:durableId="163848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7B"/>
    <w:rsid w:val="000075D8"/>
    <w:rsid w:val="001D5C09"/>
    <w:rsid w:val="00295C4F"/>
    <w:rsid w:val="00297D8A"/>
    <w:rsid w:val="00330E00"/>
    <w:rsid w:val="005D2CD1"/>
    <w:rsid w:val="007F7E25"/>
    <w:rsid w:val="008C1F80"/>
    <w:rsid w:val="008F0EA5"/>
    <w:rsid w:val="00A04F6E"/>
    <w:rsid w:val="00B72463"/>
    <w:rsid w:val="00C216FF"/>
    <w:rsid w:val="00C643A6"/>
    <w:rsid w:val="00CB2148"/>
    <w:rsid w:val="00CE45AF"/>
    <w:rsid w:val="00D50E0E"/>
    <w:rsid w:val="00E90F1A"/>
    <w:rsid w:val="00F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1E7CA"/>
  <w15:chartTrackingRefBased/>
  <w15:docId w15:val="{99083874-7654-45D5-8209-2EA63796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7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bidi="ar-SA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30E00"/>
    <w:pPr>
      <w:ind w:left="402" w:hanging="358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4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97B"/>
  </w:style>
  <w:style w:type="paragraph" w:styleId="Footer">
    <w:name w:val="footer"/>
    <w:basedOn w:val="Normal"/>
    <w:link w:val="FooterChar"/>
    <w:uiPriority w:val="99"/>
    <w:unhideWhenUsed/>
    <w:rsid w:val="00F92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97B"/>
  </w:style>
  <w:style w:type="paragraph" w:styleId="BodyText">
    <w:name w:val="Body Text"/>
    <w:basedOn w:val="Normal"/>
    <w:link w:val="BodyTextChar"/>
    <w:uiPriority w:val="1"/>
    <w:qFormat/>
    <w:rsid w:val="00F9297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9297B"/>
    <w:rPr>
      <w:rFonts w:ascii="Cambria" w:eastAsia="Cambria" w:hAnsi="Cambria" w:cs="Cambria"/>
      <w:kern w:val="0"/>
      <w:sz w:val="20"/>
      <w:szCs w:val="20"/>
      <w:lang w:bidi="ar-SA"/>
      <w14:ligatures w14:val="none"/>
    </w:rPr>
  </w:style>
  <w:style w:type="paragraph" w:styleId="Title">
    <w:name w:val="Title"/>
    <w:basedOn w:val="Normal"/>
    <w:link w:val="TitleChar"/>
    <w:uiPriority w:val="10"/>
    <w:qFormat/>
    <w:rsid w:val="00F9297B"/>
    <w:pPr>
      <w:spacing w:before="94" w:line="322" w:lineRule="exact"/>
      <w:ind w:left="102" w:right="23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9297B"/>
    <w:rPr>
      <w:rFonts w:ascii="Cambria" w:eastAsia="Cambria" w:hAnsi="Cambria" w:cs="Cambria"/>
      <w:kern w:val="0"/>
      <w:sz w:val="28"/>
      <w:szCs w:val="28"/>
      <w:lang w:bidi="ar-SA"/>
      <w14:ligatures w14:val="none"/>
    </w:rPr>
  </w:style>
  <w:style w:type="paragraph" w:styleId="ListParagraph">
    <w:name w:val="List Paragraph"/>
    <w:basedOn w:val="Normal"/>
    <w:uiPriority w:val="1"/>
    <w:qFormat/>
    <w:rsid w:val="00F9297B"/>
    <w:pPr>
      <w:ind w:left="517" w:hanging="219"/>
    </w:pPr>
  </w:style>
  <w:style w:type="character" w:styleId="Hyperlink">
    <w:name w:val="Hyperlink"/>
    <w:basedOn w:val="DefaultParagraphFont"/>
    <w:uiPriority w:val="99"/>
    <w:unhideWhenUsed/>
    <w:rsid w:val="00F929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0E00"/>
    <w:rPr>
      <w:rFonts w:ascii="Cambria" w:eastAsia="Cambria" w:hAnsi="Cambria" w:cs="Cambria"/>
      <w:kern w:val="0"/>
      <w:sz w:val="24"/>
      <w:szCs w:val="24"/>
      <w:lang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46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bidi="ar-S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7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i.org/10.1093/acprof:oso/9780195335149.003.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dl.handle.net/2027/spo.3521354.0017.0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benjamin israel</dc:creator>
  <cp:keywords/>
  <dc:description/>
  <cp:lastModifiedBy>elias benjamin israel</cp:lastModifiedBy>
  <cp:revision>2</cp:revision>
  <cp:lastPrinted>2024-02-08T22:18:00Z</cp:lastPrinted>
  <dcterms:created xsi:type="dcterms:W3CDTF">2024-02-07T19:33:00Z</dcterms:created>
  <dcterms:modified xsi:type="dcterms:W3CDTF">2024-02-08T22:23:00Z</dcterms:modified>
</cp:coreProperties>
</file>